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黄石市商务综执法支队</w:t>
      </w: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商品现货市场交易特别规定（试行）》的处罚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widowControl/>
              <w:pBdr>
                <w:top w:val="none" w:color="auto" w:sz="0" w:space="0"/>
                <w:left w:val="none" w:color="auto" w:sz="0" w:space="0"/>
                <w:bottom w:val="none" w:color="auto" w:sz="0" w:space="0"/>
                <w:right w:val="none" w:color="auto" w:sz="0" w:space="0"/>
              </w:pBdr>
              <w:shd w:val="clear" w:color="060000" w:fill="FFFFFF"/>
              <w:spacing w:before="210" w:beforeAutospacing="0" w:after="210" w:afterAutospacing="0" w:line="420" w:lineRule="atLeast"/>
              <w:ind w:left="0" w:right="0" w:firstLine="0"/>
              <w:jc w:val="left"/>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kern w:val="0"/>
                <w:sz w:val="24"/>
                <w:szCs w:val="24"/>
                <w:lang w:val="en-US" w:eastAsia="zh-CN"/>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2013年第3号发布的</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w:t>
            </w:r>
            <w:r>
              <w:rPr>
                <w:rFonts w:hint="eastAsia" w:ascii="仿宋_GB2312" w:hAnsi="仿宋_GB2312" w:eastAsia="仿宋_GB2312" w:cs="仿宋_GB2312"/>
                <w:color w:val="333333"/>
                <w:kern w:val="0"/>
                <w:sz w:val="24"/>
                <w:szCs w:val="24"/>
              </w:rPr>
              <w:t>》</w:t>
            </w:r>
            <w:r>
              <w:rPr>
                <w:rStyle w:val="4"/>
                <w:rFonts w:hint="eastAsia" w:ascii="仿宋_GB2312" w:hAnsi="仿宋_GB2312" w:eastAsia="仿宋_GB2312" w:cs="仿宋_GB2312"/>
                <w:i w:val="0"/>
                <w:caps w:val="0"/>
                <w:color w:val="000000"/>
                <w:spacing w:val="0"/>
                <w:sz w:val="24"/>
                <w:szCs w:val="24"/>
                <w:shd w:val="clear" w:color="090000" w:fill="FFFFFF"/>
              </w:rPr>
              <w:t> 第三章　商品现货市场经营规范</w:t>
            </w:r>
            <w:r>
              <w:rPr>
                <w:rFonts w:hint="eastAsia" w:ascii="仿宋_GB2312" w:hAnsi="仿宋_GB2312" w:eastAsia="仿宋_GB2312" w:cs="仿宋_GB2312"/>
                <w:b w:val="0"/>
                <w:i w:val="0"/>
                <w:caps w:val="0"/>
                <w:color w:val="000000"/>
                <w:spacing w:val="0"/>
                <w:sz w:val="24"/>
                <w:szCs w:val="24"/>
                <w:shd w:val="clear" w:color="090000" w:fill="FFFFFF"/>
              </w:rPr>
              <w:t>第十一条 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 第十二条 市场经营者应当公开业务规则和规章制度。制定、修改和变更业务规则和规章制度，应当在合理时间内提前公示。第十三条 商品现货市场应当制定应急预案。出现异常情况时，应当及时采取有效措施，防止出现市场风险。第十四条 市场经营者应当采取合同约束、系统控制、强化内部管理等措施，加强资金管理力度。 第十七条 市场经营者应当建立完善商品信息发布制度，公布交易商品的名称、数量、质量、规格、产地等相关信息，保证信息的真实、准确，不得发布虚假信息。第十八条采用现代信息化技术开展交易活动的，市场经营者应当实时记录商品仓储、交易、交收、结算、支付等相关信息，采取措施保证相关信息的完整和安全，并保存五年以上。第十九条市场经营者不得擅自篡改、销毁相关信息和资料。</w:t>
            </w:r>
            <w:r>
              <w:rPr>
                <w:rFonts w:hint="eastAsia" w:ascii="仿宋_GB2312" w:hAnsi="仿宋_GB2312" w:eastAsia="仿宋_GB2312" w:cs="仿宋_GB2312"/>
                <w:b w:val="0"/>
                <w:i w:val="0"/>
                <w:caps w:val="0"/>
                <w:color w:val="000000"/>
                <w:spacing w:val="0"/>
                <w:sz w:val="24"/>
                <w:szCs w:val="24"/>
                <w:shd w:val="clear" w:color="080000" w:fill="FFFFFF"/>
              </w:rPr>
              <w:t>第二十一条市场经营者应当根据相关部门的要求报送有关经营信息与资料。 第二十三条市场经营者违反第十一条、第十二条、第十三条、第十四条、第十七条、第十八条、第十九条、第二十一条规定，由县级以上商务主管部门会同有关部门责令改正。逾期不改的，处一万元以上三万元以下罚款。</w:t>
            </w:r>
          </w:p>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p>
          <w:p>
            <w:pPr>
              <w:widowControl/>
              <w:jc w:val="left"/>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责令整改。</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罚款。</w:t>
            </w:r>
            <w:r>
              <w:rPr>
                <w:rFonts w:hint="eastAsia" w:ascii="仿宋_GB2312" w:hAnsi="仿宋_GB2312" w:eastAsia="仿宋_GB2312" w:cs="仿宋_GB2312"/>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numPr>
                <w:numId w:val="0"/>
              </w:num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2013年第3号发布的</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w:t>
            </w:r>
            <w:r>
              <w:rPr>
                <w:rFonts w:hint="eastAsia" w:ascii="仿宋_GB2312" w:hAnsi="仿宋_GB2312" w:eastAsia="仿宋_GB2312" w:cs="仿宋_GB2312"/>
                <w:color w:val="333333"/>
                <w:kern w:val="0"/>
                <w:sz w:val="24"/>
                <w:szCs w:val="24"/>
              </w:rPr>
              <w:t>》</w:t>
            </w:r>
            <w:r>
              <w:rPr>
                <w:rStyle w:val="4"/>
                <w:rFonts w:hint="eastAsia" w:ascii="仿宋_GB2312" w:hAnsi="仿宋_GB2312" w:eastAsia="仿宋_GB2312" w:cs="仿宋_GB2312"/>
                <w:i w:val="0"/>
                <w:caps w:val="0"/>
                <w:color w:val="000000"/>
                <w:spacing w:val="0"/>
                <w:sz w:val="24"/>
                <w:szCs w:val="24"/>
                <w:shd w:val="clear" w:color="080000" w:fill="FFFFFF"/>
              </w:rPr>
              <w:t> </w:t>
            </w:r>
            <w:r>
              <w:rPr>
                <w:rFonts w:hint="eastAsia" w:ascii="仿宋_GB2312" w:hAnsi="仿宋_GB2312" w:eastAsia="仿宋_GB2312" w:cs="仿宋_GB2312"/>
                <w:b w:val="0"/>
                <w:i w:val="0"/>
                <w:caps w:val="0"/>
                <w:color w:val="000000"/>
                <w:spacing w:val="0"/>
                <w:sz w:val="24"/>
                <w:szCs w:val="24"/>
                <w:shd w:val="clear" w:color="080000" w:fill="FFFFFF"/>
              </w:rPr>
              <w:t> 第二十三条市场经营者违反第十一条、第十二条、第十三条、第十四条、第十七条、第十八条、第十九条、第二十一条规定，由县级以上商务主管部门会同有关部门责令改正。逾期不改的，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1.立案责任：通过举报、巡查（或者下级</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部门上报及其他机关移送的违法案件等），</w:t>
            </w:r>
            <w:r>
              <w:rPr>
                <w:rFonts w:hint="eastAsia" w:ascii="仿宋_GB2312" w:hAnsi="仿宋_GB2312" w:eastAsia="仿宋_GB2312" w:cs="仿宋_GB2312"/>
                <w:kern w:val="0"/>
                <w:sz w:val="24"/>
                <w:szCs w:val="24"/>
                <w:lang w:val="en-US" w:eastAsia="zh-CN"/>
              </w:rPr>
              <w:t>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商品现货市场交易特别规定（试行）》的处罚违规经营行为</w:t>
            </w:r>
            <w:r>
              <w:rPr>
                <w:rFonts w:hint="eastAsia" w:ascii="仿宋_GB2312" w:hAnsi="仿宋_GB2312" w:eastAsia="仿宋_GB2312" w:cs="仿宋_GB2312"/>
                <w:kern w:val="0"/>
                <w:sz w:val="24"/>
                <w:szCs w:val="24"/>
              </w:rPr>
              <w:t>予以审查，决定是否立案。</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2.调查取证责任：</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 xml:space="preserve">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4.告知责任：作出行政处罚决定前，应制作《行政处罚告知书》送达当事人，告知违法事实及其享有的陈述、申辩等权利。符合听证规定的，制作并送达《行政处罚听证告知书》。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5.决定责任：作出处罚决定，制作行政处罚决定书，载明行政处罚告知、当事人陈述申辩或者听证情况等内容。</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 xml:space="preserve">6.送达责任：行政处罚决定书应当在宣告后当场交付当事人；当事人不在场的，行政机关应当在七日内依照民事诉讼法的有关规定，将行政处罚决定书送达当事人。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7.执行责任：依照生效的行政处罚决定，自觉履行或强制执行。</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9"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.《行政处罚法》（2009年8月27日修订）第四十四条  行政处罚决定依法作出后，</w:t>
            </w:r>
            <w:bookmarkStart w:id="0" w:name="_GoBack"/>
            <w:bookmarkEnd w:id="0"/>
            <w:r>
              <w:rPr>
                <w:rFonts w:hint="eastAsia" w:ascii="仿宋_GB2312" w:hAnsi="仿宋_GB2312" w:eastAsia="仿宋_GB2312" w:cs="仿宋_GB2312"/>
                <w:kern w:val="0"/>
                <w:sz w:val="24"/>
                <w:szCs w:val="24"/>
              </w:rPr>
              <w:t>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w:t>
            </w:r>
            <w:r>
              <w:rPr>
                <w:rFonts w:hint="eastAsia" w:ascii="仿宋_GB2312" w:hAnsi="仿宋_GB2312" w:eastAsia="仿宋_GB2312" w:cs="仿宋_GB2312"/>
                <w:color w:val="333333"/>
                <w:kern w:val="0"/>
                <w:sz w:val="24"/>
                <w:szCs w:val="24"/>
              </w:rPr>
              <w:t>》</w:t>
            </w:r>
            <w:r>
              <w:rPr>
                <w:rStyle w:val="4"/>
                <w:rFonts w:hint="eastAsia" w:ascii="仿宋_GB2312" w:hAnsi="仿宋_GB2312" w:eastAsia="仿宋_GB2312" w:cs="仿宋_GB2312"/>
                <w:i w:val="0"/>
                <w:caps w:val="0"/>
                <w:color w:val="000000"/>
                <w:spacing w:val="0"/>
                <w:sz w:val="24"/>
                <w:szCs w:val="24"/>
                <w:shd w:val="clear" w:color="080000" w:fill="FFFFFF"/>
              </w:rPr>
              <w:t> </w:t>
            </w:r>
            <w:r>
              <w:rPr>
                <w:rFonts w:hint="eastAsia" w:ascii="仿宋_GB2312" w:hAnsi="仿宋_GB2312" w:eastAsia="仿宋_GB2312" w:cs="仿宋_GB2312"/>
                <w:kern w:val="0"/>
                <w:sz w:val="24"/>
                <w:szCs w:val="24"/>
                <w:lang w:eastAsia="zh-CN"/>
              </w:rPr>
              <w:t>行为的个人及单位</w:t>
            </w:r>
            <w:r>
              <w:rPr>
                <w:rFonts w:hint="eastAsia" w:ascii="仿宋_GB2312" w:hAnsi="仿宋_GB2312" w:eastAsia="仿宋_GB2312" w:cs="仿宋_GB2312"/>
                <w:kern w:val="0"/>
                <w:sz w:val="24"/>
                <w:szCs w:val="24"/>
              </w:rPr>
              <w:t>进行监督检查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2013年第3号发布的</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lang w:val="en-US" w:eastAsia="zh-CN"/>
              </w:rPr>
              <w:t>商品现货市场交易特别规定</w:t>
            </w:r>
            <w:r>
              <w:rPr>
                <w:rFonts w:hint="eastAsia" w:ascii="仿宋_GB2312" w:hAnsi="仿宋_GB2312" w:eastAsia="仿宋_GB2312" w:cs="仿宋_GB2312"/>
                <w:color w:val="333333"/>
                <w:kern w:val="0"/>
                <w:sz w:val="24"/>
                <w:szCs w:val="24"/>
              </w:rPr>
              <w:t>》</w:t>
            </w:r>
            <w:r>
              <w:rPr>
                <w:rStyle w:val="4"/>
                <w:rFonts w:hint="eastAsia" w:ascii="仿宋_GB2312" w:hAnsi="仿宋_GB2312" w:eastAsia="仿宋_GB2312" w:cs="仿宋_GB2312"/>
                <w:i w:val="0"/>
                <w:caps w:val="0"/>
                <w:color w:val="000000"/>
                <w:spacing w:val="0"/>
                <w:sz w:val="24"/>
                <w:szCs w:val="24"/>
                <w:shd w:val="clear" w:color="080000" w:fill="FFFFFF"/>
              </w:rPr>
              <w:t> 第三章　商品现货市场经营规范</w:t>
            </w:r>
            <w:r>
              <w:rPr>
                <w:rFonts w:hint="eastAsia" w:ascii="仿宋_GB2312" w:hAnsi="仿宋_GB2312" w:eastAsia="仿宋_GB2312" w:cs="仿宋_GB2312"/>
                <w:b w:val="0"/>
                <w:i w:val="0"/>
                <w:caps w:val="0"/>
                <w:color w:val="000000"/>
                <w:spacing w:val="0"/>
                <w:sz w:val="24"/>
                <w:szCs w:val="24"/>
                <w:shd w:val="clear" w:color="080000" w:fill="FFFFFF"/>
              </w:rPr>
              <w:t>第十一条 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 第十二条 市场经营者应当公开业务规则和规章制度。制定、修改和变更业务规则和规章制度，应当在合理时间内提前公示。第十三条 商品现货市场应当制定应急预案。出现异常情况时，应当及时采取有效措施，防止出现市场风险。第十四条 市场经营者应当采取合同约束、系统控制、强化内部管理等措施，加强资金管理力度。 第十七条 市场经营者应当建立完善商品信息发布制度，公布交易商品的名称、数量、质量、规格、产地等相关信息，保证信息的真实、准确，不得发布虚假信息。第十八条采用现代信息化技术开展交易活动的，市场经营者应当实时记录商品仓储、交易、交收、结算、支付等相关信息，采取措施保证相关信息的完整和安全，并保存五年以上。第十九条市场经营者不得擅自篡改、销毁相关信息和资料。第二十一条市场经营者应当根据相关部门的要求报送有关经营信息与资料。 第二十三条市场经营者违反第十一条、第十二条、第十三条、第十四条、第十七条、第十八条、第十九条、第二十一条规定，由县级以上商务主管部门会同有关部门责令改正。逾期不改的，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kern w:val="0"/>
                <w:sz w:val="24"/>
              </w:rPr>
            </w:pPr>
            <w:r>
              <w:rPr>
                <w:rFonts w:hAnsi="宋体"/>
                <w:kern w:val="0"/>
                <w:sz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2736379"/>
    <w:rsid w:val="1FF265F6"/>
    <w:rsid w:val="2CC76F8B"/>
    <w:rsid w:val="42736379"/>
    <w:rsid w:val="4B3F488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2016-01-29T08:41:00Z</dcterms:created>
  <dc:creator>Administrator</dc:creator>
  <cp:lastModifiedBy>Administrator</cp:lastModifiedBy>
  <dcterms:modified xsi:type="dcterms:W3CDTF">2016-02-16T00:49:02Z</dcterms:modified>
  <dc:title>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