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行政职权基本信息表</w:t>
      </w:r>
    </w:p>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（行政处罚）</w:t>
      </w: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黄石市商务综执法支队</w:t>
      </w:r>
    </w:p>
    <w:tbl>
      <w:tblPr>
        <w:tblStyle w:val="5"/>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对生活必需品销售和储运单位及其人员违法经营和不配合行政管理的行政处罚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pStyle w:val="2"/>
              <w:widowControl/>
              <w:shd w:val="clear" w:color="050000" w:fill="FFFFFF"/>
              <w:spacing w:line="420" w:lineRule="atLeast"/>
              <w:ind w:left="0" w:firstLine="0"/>
              <w:jc w:val="both"/>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kern w:val="0"/>
                <w:sz w:val="24"/>
                <w:szCs w:val="24"/>
                <w:lang w:val="en-US" w:eastAsia="zh-CN"/>
              </w:rPr>
              <w:t>【法规】</w:t>
            </w:r>
            <w:r>
              <w:rPr>
                <w:rStyle w:val="4"/>
                <w:rFonts w:hint="eastAsia" w:ascii="仿宋_GB2312" w:hAnsi="仿宋_GB2312" w:eastAsia="仿宋_GB2312" w:cs="仿宋_GB2312"/>
                <w:i w:val="0"/>
                <w:caps w:val="0"/>
                <w:color w:val="000000"/>
                <w:spacing w:val="0"/>
                <w:sz w:val="24"/>
                <w:szCs w:val="24"/>
                <w:shd w:val="clear" w:color="080000" w:fill="FFFFFF"/>
              </w:rPr>
              <w:t>商务部令2011</w:t>
            </w:r>
            <w:r>
              <w:rPr>
                <w:rFonts w:hint="eastAsia" w:ascii="仿宋_GB2312" w:hAnsi="仿宋_GB2312" w:eastAsia="仿宋_GB2312" w:cs="仿宋_GB2312"/>
                <w:b w:val="0"/>
                <w:i w:val="0"/>
                <w:caps w:val="0"/>
                <w:color w:val="000000"/>
                <w:spacing w:val="0"/>
                <w:sz w:val="24"/>
                <w:szCs w:val="24"/>
                <w:shd w:val="clear" w:color="080000" w:fill="FFFFFF"/>
              </w:rPr>
              <w:t> 年 第 </w:t>
            </w:r>
            <w:r>
              <w:rPr>
                <w:rStyle w:val="4"/>
                <w:rFonts w:hint="eastAsia" w:ascii="仿宋_GB2312" w:hAnsi="仿宋_GB2312" w:eastAsia="仿宋_GB2312" w:cs="仿宋_GB2312"/>
                <w:i w:val="0"/>
                <w:caps w:val="0"/>
                <w:color w:val="000000"/>
                <w:spacing w:val="0"/>
                <w:sz w:val="24"/>
                <w:szCs w:val="24"/>
                <w:shd w:val="clear" w:color="080000" w:fill="FFFFFF"/>
              </w:rPr>
              <w:t>4</w:t>
            </w:r>
            <w:r>
              <w:rPr>
                <w:rFonts w:hint="eastAsia" w:ascii="仿宋_GB2312" w:hAnsi="仿宋_GB2312" w:eastAsia="仿宋_GB2312" w:cs="仿宋_GB2312"/>
                <w:b w:val="0"/>
                <w:i w:val="0"/>
                <w:caps w:val="0"/>
                <w:color w:val="000000"/>
                <w:spacing w:val="0"/>
                <w:sz w:val="24"/>
                <w:szCs w:val="24"/>
                <w:shd w:val="clear" w:color="080000" w:fill="FFFFFF"/>
              </w:rPr>
              <w:t> 号自2012年2月1日起施行</w:t>
            </w:r>
            <w:r>
              <w:rPr>
                <w:rFonts w:hint="eastAsia" w:ascii="仿宋_GB2312" w:hAnsi="仿宋_GB2312" w:eastAsia="仿宋_GB2312" w:cs="仿宋_GB2312"/>
                <w:kern w:val="0"/>
                <w:sz w:val="24"/>
                <w:szCs w:val="24"/>
                <w:lang w:val="en-US" w:eastAsia="zh-CN"/>
              </w:rPr>
              <w:t>《</w:t>
            </w:r>
            <w:r>
              <w:rPr>
                <w:rStyle w:val="4"/>
                <w:rFonts w:hint="eastAsia" w:ascii="仿宋_GB2312" w:hAnsi="仿宋_GB2312" w:eastAsia="仿宋_GB2312" w:cs="仿宋_GB2312"/>
                <w:i w:val="0"/>
                <w:caps w:val="0"/>
                <w:color w:val="000000"/>
                <w:spacing w:val="0"/>
                <w:sz w:val="24"/>
                <w:szCs w:val="24"/>
                <w:shd w:val="clear" w:color="080000" w:fill="FFFFFF"/>
              </w:rPr>
              <w:t>生活必需品市场供应应急管理办法</w:t>
            </w:r>
            <w:r>
              <w:rPr>
                <w:rStyle w:val="4"/>
                <w:rFonts w:hint="eastAsia" w:ascii="仿宋_GB2312" w:hAnsi="仿宋_GB2312" w:eastAsia="仿宋_GB2312" w:cs="仿宋_GB2312"/>
                <w:i w:val="0"/>
                <w:caps w:val="0"/>
                <w:color w:val="000000"/>
                <w:spacing w:val="0"/>
                <w:sz w:val="24"/>
                <w:szCs w:val="24"/>
                <w:shd w:val="clear" w:color="080000" w:fill="FFFFFF"/>
                <w:lang w:eastAsia="zh-CN"/>
              </w:rPr>
              <w:t>》</w:t>
            </w:r>
            <w:r>
              <w:rPr>
                <w:rStyle w:val="4"/>
                <w:rFonts w:hint="eastAsia" w:ascii="仿宋_GB2312" w:hAnsi="仿宋_GB2312" w:eastAsia="仿宋_GB2312" w:cs="仿宋_GB2312"/>
                <w:i w:val="0"/>
                <w:caps w:val="0"/>
                <w:color w:val="000000"/>
                <w:spacing w:val="0"/>
                <w:sz w:val="24"/>
                <w:szCs w:val="24"/>
                <w:shd w:val="clear" w:color="080000" w:fill="FFFFFF"/>
              </w:rPr>
              <w:t>第五条</w:t>
            </w:r>
            <w:r>
              <w:rPr>
                <w:rFonts w:hint="eastAsia" w:ascii="仿宋_GB2312" w:hAnsi="仿宋_GB2312" w:eastAsia="仿宋_GB2312" w:cs="仿宋_GB2312"/>
                <w:b w:val="0"/>
                <w:i w:val="0"/>
                <w:caps w:val="0"/>
                <w:color w:val="000000"/>
                <w:spacing w:val="0"/>
                <w:sz w:val="24"/>
                <w:szCs w:val="24"/>
                <w:shd w:val="clear" w:color="080000" w:fill="FFFFFF"/>
              </w:rPr>
              <w:t>商务部成立由部长担任总指挥、分管部领导担任副总指挥的商务部应对市场异常波动指挥部，负责对全国市场异常波动应急管理工作的统一领导、组织和协调。县级以上地方商务主管部门要成立由主要负责人担任总指挥、分管负责人担任副总指挥的应对市场异常波动指挥部，负责领导、指挥本行政区域内市场异常波动应急管理工作。</w:t>
            </w:r>
            <w:r>
              <w:rPr>
                <w:rStyle w:val="4"/>
                <w:rFonts w:hint="eastAsia" w:ascii="仿宋_GB2312" w:hAnsi="仿宋_GB2312" w:eastAsia="仿宋_GB2312" w:cs="仿宋_GB2312"/>
                <w:i w:val="0"/>
                <w:caps w:val="0"/>
                <w:color w:val="000000"/>
                <w:spacing w:val="0"/>
                <w:sz w:val="24"/>
                <w:szCs w:val="24"/>
                <w:shd w:val="clear" w:color="080000" w:fill="FFFFFF"/>
              </w:rPr>
              <w:t>第三十八条</w:t>
            </w:r>
            <w:r>
              <w:rPr>
                <w:rFonts w:hint="eastAsia" w:ascii="仿宋_GB2312" w:hAnsi="仿宋_GB2312" w:eastAsia="仿宋_GB2312" w:cs="仿宋_GB2312"/>
                <w:b w:val="0"/>
                <w:i w:val="0"/>
                <w:caps w:val="0"/>
                <w:color w:val="000000"/>
                <w:spacing w:val="0"/>
                <w:sz w:val="24"/>
                <w:szCs w:val="24"/>
                <w:shd w:val="clear" w:color="080000" w:fill="FFFFFF"/>
              </w:rPr>
              <w:t>　生活必需品销售和储运单位及其人员有下列行为之一的，由县级以上地方人民政府有关主管部门根据情节，依法责令改正、没收违法所得、罚款、警告；造成严重危害后果，构成犯罪的，提请司法机关依法追究刑事责任：</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（一）未按照规定履行市场异常波动报告职责，隐瞒、缓报、谎报或者漏报的；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（二）未按照规定报送监测资料的；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（三）购进、销售假冒伪劣商品及囤积居奇、哄抬物价的；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（四）未按照规定及时采取组织货源等预防控制措施的；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（五）拒绝服从商务主管部门调遣的；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（六）拒绝、阻碍或者不配合现场调查、资料收集及监督检查的。</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right="0"/>
              <w:rPr>
                <w:rFonts w:hint="eastAsia" w:ascii="仿宋_GB2312" w:hAnsi="仿宋_GB2312" w:eastAsia="仿宋_GB2312" w:cs="仿宋_GB2312"/>
                <w:b w:val="0"/>
                <w:i w:val="0"/>
                <w:caps w:val="0"/>
                <w:color w:val="333333"/>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210" w:beforeAutospacing="0" w:after="210" w:afterAutospacing="0" w:line="420" w:lineRule="atLeast"/>
              <w:ind w:left="0" w:right="0" w:firstLine="0"/>
              <w:jc w:val="left"/>
              <w:rPr>
                <w:rFonts w:hint="eastAsia" w:ascii="仿宋_GB2312" w:hAnsi="仿宋_GB2312" w:eastAsia="仿宋_GB2312" w:cs="仿宋_GB2312"/>
                <w:b w:val="0"/>
                <w:i w:val="0"/>
                <w:caps w:val="0"/>
                <w:color w:val="000000"/>
                <w:spacing w:val="0"/>
                <w:sz w:val="24"/>
                <w:szCs w:val="24"/>
              </w:rPr>
            </w:pPr>
          </w:p>
          <w:p>
            <w:pPr>
              <w:widowControl/>
              <w:shd w:val="clear" w:color="auto" w:fill="FFFFFF"/>
              <w:spacing w:line="360" w:lineRule="atLeast"/>
              <w:jc w:val="left"/>
              <w:rPr>
                <w:rFonts w:hint="eastAsia" w:ascii="仿宋_GB2312" w:hAnsi="仿宋_GB2312" w:eastAsia="仿宋_GB2312" w:cs="仿宋_GB2312"/>
                <w:color w:val="333333"/>
                <w:kern w:val="0"/>
                <w:sz w:val="24"/>
                <w:szCs w:val="24"/>
              </w:rPr>
            </w:pPr>
          </w:p>
          <w:p>
            <w:pPr>
              <w:widowControl/>
              <w:jc w:val="left"/>
              <w:rPr>
                <w:rFonts w:hint="eastAsia"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pStyle w:val="2"/>
              <w:widowControl/>
              <w:shd w:val="clear" w:color="050000" w:fill="FFFFFF"/>
              <w:spacing w:line="420" w:lineRule="atLeast"/>
              <w:ind w:left="0" w:firstLine="0"/>
              <w:jc w:val="both"/>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b w:val="0"/>
                <w:i w:val="0"/>
                <w:caps w:val="0"/>
                <w:color w:val="000000"/>
                <w:spacing w:val="0"/>
                <w:sz w:val="24"/>
                <w:szCs w:val="24"/>
                <w:shd w:val="clear" w:color="080000" w:fill="FFFFFF"/>
              </w:rPr>
              <w:t>（一）未按照规定履行市场异常波动报告职责，隐瞒、缓报、谎报或者漏报的；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（二）未按照规定报送监测资料的；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（三）购进、销售假冒伪劣商品及囤积居奇、哄抬物价的；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（四）未按照规定及时采取组织货源等预防控制措施的；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（五）拒绝服从商务主管部门调遣的；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（六）拒绝、阻碍或者不配合现场调查、资料收集及监督检查的。</w:t>
            </w:r>
          </w:p>
          <w:p>
            <w:pPr>
              <w:pStyle w:val="2"/>
              <w:widowControl/>
              <w:pBdr>
                <w:top w:val="none" w:color="auto" w:sz="0" w:space="0"/>
                <w:left w:val="none" w:color="auto" w:sz="0" w:space="0"/>
                <w:bottom w:val="none" w:color="auto" w:sz="0" w:space="0"/>
                <w:right w:val="none" w:color="auto" w:sz="0" w:space="0"/>
              </w:pBdr>
              <w:shd w:val="clear" w:color="060000" w:fill="FFFFFF"/>
              <w:spacing w:before="210" w:beforeAutospacing="0" w:after="210" w:afterAutospacing="0" w:line="420" w:lineRule="atLeast"/>
              <w:ind w:left="0" w:right="0" w:firstLine="0"/>
              <w:jc w:val="left"/>
              <w:rPr>
                <w:rFonts w:hint="eastAsia" w:ascii="仿宋_GB2312" w:hAnsi="仿宋_GB2312" w:eastAsia="仿宋_GB2312" w:cs="仿宋_GB2312"/>
                <w:b w:val="0"/>
                <w:i w:val="0"/>
                <w:caps w:val="0"/>
                <w:color w:val="000000"/>
                <w:spacing w:val="0"/>
                <w:sz w:val="24"/>
                <w:szCs w:val="24"/>
              </w:rPr>
            </w:pPr>
          </w:p>
          <w:p>
            <w:pPr>
              <w:widowControl/>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numPr>
                <w:ilvl w:val="0"/>
                <w:numId w:val="1"/>
              </w:numPr>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责令整改。</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没收违法所得。</w:t>
            </w:r>
          </w:p>
          <w:p>
            <w:pPr>
              <w:widowControl/>
              <w:numPr>
                <w:ilvl w:val="0"/>
                <w:numId w:val="2"/>
              </w:num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罚款。</w:t>
            </w:r>
            <w:r>
              <w:rPr>
                <w:rFonts w:hint="eastAsia" w:ascii="仿宋_GB2312" w:hAnsi="仿宋_GB2312" w:eastAsia="仿宋_GB2312" w:cs="仿宋_GB2312"/>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right="0"/>
              <w:rPr>
                <w:rFonts w:hint="eastAsia" w:ascii="仿宋_GB2312" w:hAnsi="仿宋_GB2312" w:eastAsia="仿宋_GB2312" w:cs="仿宋_GB2312"/>
                <w:b w:val="0"/>
                <w:i w:val="0"/>
                <w:caps w:val="0"/>
                <w:color w:val="333333"/>
                <w:spacing w:val="0"/>
                <w:sz w:val="24"/>
                <w:szCs w:val="24"/>
              </w:rPr>
            </w:pPr>
            <w:r>
              <w:rPr>
                <w:rFonts w:hint="eastAsia" w:ascii="仿宋_GB2312" w:hAnsi="仿宋_GB2312" w:eastAsia="仿宋_GB2312" w:cs="仿宋_GB2312"/>
                <w:kern w:val="0"/>
                <w:sz w:val="24"/>
                <w:szCs w:val="24"/>
                <w:lang w:val="en-US" w:eastAsia="zh-CN"/>
              </w:rPr>
              <w:t>【法规】</w:t>
            </w:r>
            <w:r>
              <w:rPr>
                <w:rStyle w:val="4"/>
                <w:rFonts w:hint="eastAsia" w:ascii="仿宋_GB2312" w:hAnsi="仿宋_GB2312" w:eastAsia="仿宋_GB2312" w:cs="仿宋_GB2312"/>
                <w:i w:val="0"/>
                <w:caps w:val="0"/>
                <w:color w:val="000000"/>
                <w:spacing w:val="0"/>
                <w:sz w:val="24"/>
                <w:szCs w:val="24"/>
                <w:shd w:val="clear" w:color="080000" w:fill="FFFFFF"/>
              </w:rPr>
              <w:t>商务部令2011</w:t>
            </w:r>
            <w:r>
              <w:rPr>
                <w:rFonts w:hint="eastAsia" w:ascii="仿宋_GB2312" w:hAnsi="仿宋_GB2312" w:eastAsia="仿宋_GB2312" w:cs="仿宋_GB2312"/>
                <w:b w:val="0"/>
                <w:i w:val="0"/>
                <w:caps w:val="0"/>
                <w:color w:val="000000"/>
                <w:spacing w:val="0"/>
                <w:sz w:val="24"/>
                <w:szCs w:val="24"/>
                <w:shd w:val="clear" w:color="080000" w:fill="FFFFFF"/>
              </w:rPr>
              <w:t> 年 第 </w:t>
            </w:r>
            <w:r>
              <w:rPr>
                <w:rStyle w:val="4"/>
                <w:rFonts w:hint="eastAsia" w:ascii="仿宋_GB2312" w:hAnsi="仿宋_GB2312" w:eastAsia="仿宋_GB2312" w:cs="仿宋_GB2312"/>
                <w:i w:val="0"/>
                <w:caps w:val="0"/>
                <w:color w:val="000000"/>
                <w:spacing w:val="0"/>
                <w:sz w:val="24"/>
                <w:szCs w:val="24"/>
                <w:shd w:val="clear" w:color="080000" w:fill="FFFFFF"/>
              </w:rPr>
              <w:t>4</w:t>
            </w:r>
            <w:r>
              <w:rPr>
                <w:rFonts w:hint="eastAsia" w:ascii="仿宋_GB2312" w:hAnsi="仿宋_GB2312" w:eastAsia="仿宋_GB2312" w:cs="仿宋_GB2312"/>
                <w:b w:val="0"/>
                <w:i w:val="0"/>
                <w:caps w:val="0"/>
                <w:color w:val="000000"/>
                <w:spacing w:val="0"/>
                <w:sz w:val="24"/>
                <w:szCs w:val="24"/>
                <w:shd w:val="clear" w:color="080000" w:fill="FFFFFF"/>
              </w:rPr>
              <w:t> 号自2012年2月1日起施行</w:t>
            </w:r>
            <w:r>
              <w:rPr>
                <w:rFonts w:hint="eastAsia" w:ascii="仿宋_GB2312" w:hAnsi="仿宋_GB2312" w:eastAsia="仿宋_GB2312" w:cs="仿宋_GB2312"/>
                <w:kern w:val="0"/>
                <w:sz w:val="24"/>
                <w:szCs w:val="24"/>
                <w:lang w:val="en-US" w:eastAsia="zh-CN"/>
              </w:rPr>
              <w:t>《</w:t>
            </w:r>
            <w:r>
              <w:rPr>
                <w:rStyle w:val="4"/>
                <w:rFonts w:hint="eastAsia" w:ascii="仿宋_GB2312" w:hAnsi="仿宋_GB2312" w:eastAsia="仿宋_GB2312" w:cs="仿宋_GB2312"/>
                <w:b w:val="0"/>
                <w:bCs w:val="0"/>
                <w:i w:val="0"/>
                <w:caps w:val="0"/>
                <w:color w:val="000000"/>
                <w:spacing w:val="0"/>
                <w:sz w:val="24"/>
                <w:szCs w:val="24"/>
                <w:shd w:val="clear" w:color="080000" w:fill="FFFFFF"/>
              </w:rPr>
              <w:t>生活必需品市场供应应急管理办法</w:t>
            </w:r>
            <w:r>
              <w:rPr>
                <w:rStyle w:val="4"/>
                <w:rFonts w:hint="eastAsia" w:ascii="仿宋_GB2312" w:hAnsi="仿宋_GB2312" w:eastAsia="仿宋_GB2312" w:cs="仿宋_GB2312"/>
                <w:b w:val="0"/>
                <w:bCs w:val="0"/>
                <w:i w:val="0"/>
                <w:caps w:val="0"/>
                <w:color w:val="000000"/>
                <w:spacing w:val="0"/>
                <w:sz w:val="24"/>
                <w:szCs w:val="24"/>
                <w:shd w:val="clear" w:color="080000" w:fill="FFFFFF"/>
                <w:lang w:eastAsia="zh-CN"/>
              </w:rPr>
              <w:t>》</w:t>
            </w:r>
            <w:r>
              <w:rPr>
                <w:rStyle w:val="4"/>
                <w:rFonts w:hint="eastAsia" w:ascii="仿宋_GB2312" w:hAnsi="仿宋_GB2312" w:eastAsia="仿宋_GB2312" w:cs="仿宋_GB2312"/>
                <w:b w:val="0"/>
                <w:bCs w:val="0"/>
                <w:i w:val="0"/>
                <w:caps w:val="0"/>
                <w:color w:val="000000"/>
                <w:spacing w:val="0"/>
                <w:sz w:val="24"/>
                <w:szCs w:val="24"/>
                <w:shd w:val="clear" w:color="080000" w:fill="FFFFFF"/>
              </w:rPr>
              <w:t>第三十八条</w:t>
            </w:r>
            <w:r>
              <w:rPr>
                <w:rFonts w:hint="eastAsia" w:ascii="仿宋_GB2312" w:hAnsi="仿宋_GB2312" w:eastAsia="仿宋_GB2312" w:cs="仿宋_GB2312"/>
                <w:b w:val="0"/>
                <w:i w:val="0"/>
                <w:caps w:val="0"/>
                <w:color w:val="000000"/>
                <w:spacing w:val="0"/>
                <w:sz w:val="24"/>
                <w:szCs w:val="24"/>
                <w:shd w:val="clear" w:color="080000" w:fill="FFFFFF"/>
              </w:rPr>
              <w:t>　生活必需品销售和储运单位及其人员有下列行为之一的，由县级以上地方人民政府有关主管部门根据情节，依法责令改正、没收违法所得、罚款、警告；造成严重危害后果，构成犯罪的，提请司法机关依法追究刑事责任：</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（一）未按照规定履行市场异常波动报告职责，隐瞒、缓报、谎报或者漏报的；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（二）未按照规定报送监测资料的；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（三）购进、销售假冒伪劣商品及囤积居奇、哄抬物价的；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（四）未按照规定及时采取组织货源等预防控制措施的；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（五）拒绝服从商务主管部门调遣的；</w:t>
            </w:r>
            <w:r>
              <w:rPr>
                <w:rFonts w:hint="eastAsia" w:ascii="仿宋_GB2312" w:hAnsi="仿宋_GB2312" w:eastAsia="仿宋_GB2312" w:cs="仿宋_GB2312"/>
                <w:b w:val="0"/>
                <w:i w:val="0"/>
                <w:caps w:val="0"/>
                <w:color w:val="000000"/>
                <w:spacing w:val="0"/>
                <w:sz w:val="24"/>
                <w:szCs w:val="24"/>
                <w:shd w:val="clear" w:color="080000" w:fill="FFFFFF"/>
              </w:rPr>
              <w:br/>
            </w:r>
          </w:p>
          <w:p>
            <w:pPr>
              <w:widowControl/>
              <w:numPr>
                <w:numId w:val="0"/>
              </w:numPr>
              <w:spacing w:line="36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1.立案责任：通过举报、巡查（或者下级</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部门上报及其他机关移送的违法案件等），发现</w:t>
            </w:r>
            <w:r>
              <w:rPr>
                <w:rFonts w:hint="eastAsia" w:ascii="仿宋_GB2312" w:hAnsi="仿宋_GB2312" w:eastAsia="仿宋_GB2312" w:cs="仿宋_GB2312"/>
                <w:kern w:val="0"/>
                <w:sz w:val="24"/>
                <w:szCs w:val="24"/>
                <w:lang w:val="en-US" w:eastAsia="zh-CN"/>
              </w:rPr>
              <w:t>对生活必需品销售和储运单位及其人员违法经营和不配合行政管理的</w:t>
            </w:r>
            <w:r>
              <w:rPr>
                <w:rFonts w:hint="eastAsia" w:ascii="仿宋_GB2312" w:hAnsi="仿宋_GB2312" w:eastAsia="仿宋_GB2312" w:cs="仿宋_GB2312"/>
                <w:kern w:val="0"/>
                <w:sz w:val="24"/>
                <w:szCs w:val="24"/>
              </w:rPr>
              <w:t>予以审查，决定是否立案。</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2.调查取证责任：</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 xml:space="preserve">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4.告知责任：作出行政处罚决定前，应制作《行政处罚告知书》送达当事人，告知违法事实及其享有的陈述、申辩等权利。符合听证规定的，制作并送达《行政处罚听证告知书》。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5.决定责任：作出处罚决定，制作行政处罚决定书，载明行政处罚告知、当事人陈述申辩或者听证情况等内容。</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 xml:space="preserve">6.送达责任：行政处罚决定书应当在宣告后当场交付当事人；当事人不在场的，行政机关应当在七日内依照民事诉讼法的有关规定，将行政处罚决定书送达当事人。 </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7.执行责任：依照生效的行政处罚决定，自觉履行或强制执行。</w:t>
            </w: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8</w:t>
            </w:r>
            <w:r>
              <w:rPr>
                <w:rFonts w:hint="eastAsia" w:ascii="仿宋_GB2312" w:hAnsi="仿宋_GB2312" w:eastAsia="仿宋_GB2312" w:cs="仿宋_GB2312"/>
                <w:kern w:val="0"/>
                <w:sz w:val="24"/>
                <w:szCs w:val="24"/>
              </w:rPr>
              <w:t>.其他法律法规规章文件规定应履行的其他责任。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9"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1.《行政处罚法》（2009年8月27日修订）第三十九条  行政机关依照本法第三十八条的规定给予行政处罚，应当制作行政处罚决定书。</w:t>
            </w: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商务执法</w:t>
            </w:r>
            <w:r>
              <w:rPr>
                <w:rFonts w:hint="eastAsia" w:ascii="仿宋_GB2312" w:hAnsi="仿宋_GB2312" w:eastAsia="仿宋_GB2312" w:cs="仿宋_GB2312"/>
                <w:kern w:val="0"/>
                <w:sz w:val="24"/>
                <w:szCs w:val="24"/>
              </w:rPr>
              <w:t>行政处罚办法》第二十六条  审理结束后，</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主管部门根据不同情况，分别作出下列决定</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当事人未在规定时间内陈述、申辩或者要求听证的，以及陈述、申辩或者听证中提出的事实、理由或者证据不成立的，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w:t>
            </w:r>
            <w:r>
              <w:rPr>
                <w:rFonts w:hint="eastAsia" w:ascii="仿宋_GB2312" w:hAnsi="仿宋_GB2312" w:eastAsia="仿宋_GB2312" w:cs="仿宋_GB2312"/>
                <w:kern w:val="0"/>
                <w:sz w:val="24"/>
                <w:szCs w:val="24"/>
                <w:lang w:eastAsia="zh-CN"/>
              </w:rPr>
              <w:t>管</w:t>
            </w:r>
            <w:r>
              <w:rPr>
                <w:rFonts w:hint="eastAsia" w:ascii="仿宋_GB2312" w:hAnsi="仿宋_GB2312" w:eastAsia="仿宋_GB2312" w:cs="仿宋_GB2312"/>
                <w:kern w:val="0"/>
                <w:sz w:val="24"/>
                <w:szCs w:val="24"/>
              </w:rPr>
              <w:t>部门应当依法制作《行政处罚决定书》，并按照法律规定的方式，送达当事人。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.《行政处罚法》（2009年8月27日修订）第四十条  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.《行政处罚法》（2009年8月27日修订）第四十四条  行政处罚决定依法作出后，</w:t>
            </w:r>
            <w:bookmarkStart w:id="0" w:name="_GoBack"/>
            <w:bookmarkEnd w:id="0"/>
            <w:r>
              <w:rPr>
                <w:rFonts w:hint="eastAsia" w:ascii="仿宋_GB2312" w:hAnsi="仿宋_GB2312" w:eastAsia="仿宋_GB2312" w:cs="仿宋_GB2312"/>
                <w:kern w:val="0"/>
                <w:sz w:val="24"/>
                <w:szCs w:val="24"/>
              </w:rPr>
              <w:t>县级以上人民政府</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行政主管部门对违反</w:t>
            </w:r>
            <w:r>
              <w:rPr>
                <w:rFonts w:hint="eastAsia" w:ascii="仿宋_GB2312" w:hAnsi="仿宋_GB2312" w:eastAsia="仿宋_GB2312" w:cs="仿宋_GB2312"/>
                <w:kern w:val="0"/>
                <w:sz w:val="24"/>
                <w:szCs w:val="24"/>
                <w:lang w:eastAsia="zh-CN"/>
              </w:rPr>
              <w:t>《</w:t>
            </w:r>
            <w:r>
              <w:rPr>
                <w:rStyle w:val="4"/>
                <w:rFonts w:hint="eastAsia" w:ascii="仿宋_GB2312" w:hAnsi="仿宋_GB2312" w:eastAsia="仿宋_GB2312" w:cs="仿宋_GB2312"/>
                <w:b w:val="0"/>
                <w:bCs w:val="0"/>
                <w:i w:val="0"/>
                <w:caps w:val="0"/>
                <w:color w:val="000000"/>
                <w:spacing w:val="0"/>
                <w:sz w:val="24"/>
                <w:szCs w:val="24"/>
                <w:shd w:val="clear" w:color="0A0000" w:fill="FFFFFF"/>
              </w:rPr>
              <w:t>生活必需品市场供应应急管理办法</w:t>
            </w:r>
            <w:r>
              <w:rPr>
                <w:rFonts w:hint="eastAsia" w:ascii="仿宋_GB2312" w:hAnsi="仿宋_GB2312" w:eastAsia="仿宋_GB2312" w:cs="仿宋_GB2312"/>
                <w:color w:val="333333"/>
                <w:kern w:val="0"/>
                <w:sz w:val="24"/>
                <w:szCs w:val="24"/>
              </w:rPr>
              <w:t>》</w:t>
            </w:r>
            <w:r>
              <w:rPr>
                <w:rStyle w:val="4"/>
                <w:rFonts w:hint="eastAsia" w:ascii="仿宋_GB2312" w:hAnsi="仿宋_GB2312" w:eastAsia="仿宋_GB2312" w:cs="仿宋_GB2312"/>
                <w:i w:val="0"/>
                <w:caps w:val="0"/>
                <w:color w:val="000000"/>
                <w:spacing w:val="0"/>
                <w:sz w:val="24"/>
                <w:szCs w:val="24"/>
                <w:shd w:val="clear" w:color="080000" w:fill="FFFFFF"/>
              </w:rPr>
              <w:t> </w:t>
            </w:r>
            <w:r>
              <w:rPr>
                <w:rFonts w:hint="eastAsia" w:ascii="仿宋_GB2312" w:hAnsi="仿宋_GB2312" w:eastAsia="仿宋_GB2312" w:cs="仿宋_GB2312"/>
                <w:kern w:val="0"/>
                <w:sz w:val="24"/>
                <w:szCs w:val="24"/>
                <w:lang w:eastAsia="zh-CN"/>
              </w:rPr>
              <w:t>行为的个人及单位</w:t>
            </w:r>
            <w:r>
              <w:rPr>
                <w:rFonts w:hint="eastAsia" w:ascii="仿宋_GB2312" w:hAnsi="仿宋_GB2312" w:eastAsia="仿宋_GB2312" w:cs="仿宋_GB2312"/>
                <w:kern w:val="0"/>
                <w:sz w:val="24"/>
                <w:szCs w:val="24"/>
              </w:rPr>
              <w:t>进行监督检查</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行政主管部门在监督检查中应当履行下列职责：（一）对</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管理法律法规的执行情况进行监督检查；（二）查处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违法案件；（三）对属于政府有关部门、司法机关查处的</w:t>
            </w:r>
            <w:r>
              <w:rPr>
                <w:rFonts w:hint="eastAsia" w:ascii="仿宋_GB2312" w:hAnsi="仿宋_GB2312" w:eastAsia="仿宋_GB2312" w:cs="仿宋_GB2312"/>
                <w:kern w:val="0"/>
                <w:sz w:val="24"/>
                <w:szCs w:val="24"/>
                <w:lang w:eastAsia="zh-CN"/>
              </w:rPr>
              <w:t>商务执法类</w:t>
            </w:r>
            <w:r>
              <w:rPr>
                <w:rFonts w:hint="eastAsia" w:ascii="仿宋_GB2312" w:hAnsi="仿宋_GB2312" w:eastAsia="仿宋_GB2312" w:cs="仿宋_GB2312"/>
                <w:kern w:val="0"/>
                <w:sz w:val="24"/>
                <w:szCs w:val="24"/>
              </w:rPr>
              <w:t>违法案件，依照有关规定移送相关资料，配合作好查处工作;（四）法律法规规定的其他职责。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7"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pStyle w:val="2"/>
              <w:widowControl/>
              <w:shd w:val="clear" w:color="050000" w:fill="FFFFFF"/>
              <w:spacing w:line="420" w:lineRule="atLeast"/>
              <w:ind w:left="0" w:firstLine="0"/>
              <w:jc w:val="both"/>
              <w:rPr>
                <w:rFonts w:hint="eastAsia" w:ascii="仿宋_GB2312" w:hAnsi="仿宋_GB2312" w:eastAsia="仿宋_GB2312" w:cs="仿宋_GB2312"/>
                <w:b w:val="0"/>
                <w:i w:val="0"/>
                <w:caps w:val="0"/>
                <w:color w:val="000000"/>
                <w:spacing w:val="0"/>
                <w:sz w:val="24"/>
                <w:szCs w:val="24"/>
              </w:rPr>
            </w:pPr>
            <w:r>
              <w:rPr>
                <w:rFonts w:hint="eastAsia" w:ascii="仿宋_GB2312" w:hAnsi="仿宋_GB2312" w:eastAsia="仿宋_GB2312" w:cs="仿宋_GB2312"/>
                <w:kern w:val="0"/>
                <w:sz w:val="24"/>
                <w:szCs w:val="24"/>
                <w:lang w:val="en-US" w:eastAsia="zh-CN"/>
              </w:rPr>
              <w:t>【法规】</w:t>
            </w:r>
            <w:r>
              <w:rPr>
                <w:rStyle w:val="4"/>
                <w:rFonts w:hint="eastAsia" w:ascii="仿宋_GB2312" w:hAnsi="仿宋_GB2312" w:eastAsia="仿宋_GB2312" w:cs="仿宋_GB2312"/>
                <w:i w:val="0"/>
                <w:caps w:val="0"/>
                <w:color w:val="000000"/>
                <w:spacing w:val="0"/>
                <w:sz w:val="24"/>
                <w:szCs w:val="24"/>
                <w:shd w:val="clear" w:color="080000" w:fill="FFFFFF"/>
              </w:rPr>
              <w:t>商务部令2011</w:t>
            </w:r>
            <w:r>
              <w:rPr>
                <w:rFonts w:hint="eastAsia" w:ascii="仿宋_GB2312" w:hAnsi="仿宋_GB2312" w:eastAsia="仿宋_GB2312" w:cs="仿宋_GB2312"/>
                <w:b w:val="0"/>
                <w:i w:val="0"/>
                <w:caps w:val="0"/>
                <w:color w:val="000000"/>
                <w:spacing w:val="0"/>
                <w:sz w:val="24"/>
                <w:szCs w:val="24"/>
                <w:shd w:val="clear" w:color="080000" w:fill="FFFFFF"/>
              </w:rPr>
              <w:t> 年 第 </w:t>
            </w:r>
            <w:r>
              <w:rPr>
                <w:rStyle w:val="4"/>
                <w:rFonts w:hint="eastAsia" w:ascii="仿宋_GB2312" w:hAnsi="仿宋_GB2312" w:eastAsia="仿宋_GB2312" w:cs="仿宋_GB2312"/>
                <w:i w:val="0"/>
                <w:caps w:val="0"/>
                <w:color w:val="000000"/>
                <w:spacing w:val="0"/>
                <w:sz w:val="24"/>
                <w:szCs w:val="24"/>
                <w:shd w:val="clear" w:color="080000" w:fill="FFFFFF"/>
              </w:rPr>
              <w:t>4</w:t>
            </w:r>
            <w:r>
              <w:rPr>
                <w:rFonts w:hint="eastAsia" w:ascii="仿宋_GB2312" w:hAnsi="仿宋_GB2312" w:eastAsia="仿宋_GB2312" w:cs="仿宋_GB2312"/>
                <w:b w:val="0"/>
                <w:i w:val="0"/>
                <w:caps w:val="0"/>
                <w:color w:val="000000"/>
                <w:spacing w:val="0"/>
                <w:sz w:val="24"/>
                <w:szCs w:val="24"/>
                <w:shd w:val="clear" w:color="080000" w:fill="FFFFFF"/>
              </w:rPr>
              <w:t> 号自2012年2月1日起施行</w:t>
            </w:r>
            <w:r>
              <w:rPr>
                <w:rFonts w:hint="eastAsia" w:ascii="仿宋_GB2312" w:hAnsi="仿宋_GB2312" w:eastAsia="仿宋_GB2312" w:cs="仿宋_GB2312"/>
                <w:kern w:val="0"/>
                <w:sz w:val="24"/>
                <w:szCs w:val="24"/>
                <w:lang w:val="en-US" w:eastAsia="zh-CN"/>
              </w:rPr>
              <w:t>《</w:t>
            </w:r>
            <w:r>
              <w:rPr>
                <w:rStyle w:val="4"/>
                <w:rFonts w:hint="eastAsia" w:ascii="仿宋_GB2312" w:hAnsi="仿宋_GB2312" w:eastAsia="仿宋_GB2312" w:cs="仿宋_GB2312"/>
                <w:i w:val="0"/>
                <w:caps w:val="0"/>
                <w:color w:val="000000"/>
                <w:spacing w:val="0"/>
                <w:sz w:val="24"/>
                <w:szCs w:val="24"/>
                <w:shd w:val="clear" w:color="080000" w:fill="FFFFFF"/>
              </w:rPr>
              <w:t>生活必需品市场供应应急管理办法</w:t>
            </w:r>
            <w:r>
              <w:rPr>
                <w:rStyle w:val="4"/>
                <w:rFonts w:hint="eastAsia" w:ascii="仿宋_GB2312" w:hAnsi="仿宋_GB2312" w:eastAsia="仿宋_GB2312" w:cs="仿宋_GB2312"/>
                <w:i w:val="0"/>
                <w:caps w:val="0"/>
                <w:color w:val="000000"/>
                <w:spacing w:val="0"/>
                <w:sz w:val="24"/>
                <w:szCs w:val="24"/>
                <w:shd w:val="clear" w:color="080000" w:fill="FFFFFF"/>
                <w:lang w:eastAsia="zh-CN"/>
              </w:rPr>
              <w:t>》</w:t>
            </w:r>
            <w:r>
              <w:rPr>
                <w:rStyle w:val="4"/>
                <w:rFonts w:hint="eastAsia" w:ascii="仿宋_GB2312" w:hAnsi="仿宋_GB2312" w:eastAsia="仿宋_GB2312" w:cs="仿宋_GB2312"/>
                <w:i w:val="0"/>
                <w:caps w:val="0"/>
                <w:color w:val="000000"/>
                <w:spacing w:val="0"/>
                <w:sz w:val="24"/>
                <w:szCs w:val="24"/>
                <w:shd w:val="clear" w:color="080000" w:fill="FFFFFF"/>
              </w:rPr>
              <w:t>第</w:t>
            </w:r>
            <w:r>
              <w:rPr>
                <w:rStyle w:val="4"/>
                <w:rFonts w:hint="eastAsia" w:ascii="仿宋_GB2312" w:hAnsi="仿宋_GB2312" w:eastAsia="仿宋_GB2312" w:cs="仿宋_GB2312"/>
                <w:i w:val="0"/>
                <w:caps w:val="0"/>
                <w:color w:val="000000"/>
                <w:spacing w:val="0"/>
                <w:sz w:val="24"/>
                <w:szCs w:val="24"/>
                <w:shd w:val="clear" w:color="080000" w:fill="FFFFFF"/>
                <w:lang w:eastAsia="zh-CN"/>
              </w:rPr>
              <w:t>五条</w:t>
            </w:r>
            <w:r>
              <w:rPr>
                <w:rFonts w:hint="eastAsia" w:ascii="仿宋_GB2312" w:hAnsi="仿宋_GB2312" w:eastAsia="仿宋_GB2312" w:cs="仿宋_GB2312"/>
                <w:b w:val="0"/>
                <w:i w:val="0"/>
                <w:caps w:val="0"/>
                <w:color w:val="000000"/>
                <w:spacing w:val="0"/>
                <w:sz w:val="24"/>
                <w:szCs w:val="24"/>
                <w:shd w:val="clear" w:color="080000" w:fill="FFFFFF"/>
              </w:rPr>
              <w:t>商务部成立由部长担任总指挥、分管部领导担任副总指挥的商务部应对市场异常波动指挥部，负责对全国市场异常波动应急管理工作的统一领导、组织和协调。</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县级以上地方商务主管部门要成立由主要负责人担任总指挥、分管负责人担任副总指挥的应对市场异常波动指挥部，负责领导、指挥本行政区域内市场异常波动应急管理工作。</w:t>
            </w:r>
            <w:r>
              <w:rPr>
                <w:rStyle w:val="4"/>
                <w:rFonts w:hint="eastAsia" w:ascii="仿宋_GB2312" w:hAnsi="仿宋_GB2312" w:eastAsia="仿宋_GB2312" w:cs="仿宋_GB2312"/>
                <w:i w:val="0"/>
                <w:caps w:val="0"/>
                <w:color w:val="000000"/>
                <w:spacing w:val="0"/>
                <w:sz w:val="24"/>
                <w:szCs w:val="24"/>
                <w:shd w:val="clear" w:color="080000" w:fill="FFFFFF"/>
              </w:rPr>
              <w:t>第三十八条</w:t>
            </w:r>
            <w:r>
              <w:rPr>
                <w:rFonts w:hint="eastAsia" w:ascii="仿宋_GB2312" w:hAnsi="仿宋_GB2312" w:eastAsia="仿宋_GB2312" w:cs="仿宋_GB2312"/>
                <w:b w:val="0"/>
                <w:i w:val="0"/>
                <w:caps w:val="0"/>
                <w:color w:val="000000"/>
                <w:spacing w:val="0"/>
                <w:sz w:val="24"/>
                <w:szCs w:val="24"/>
                <w:shd w:val="clear" w:color="080000" w:fill="FFFFFF"/>
              </w:rPr>
              <w:t>　生活必需品销售和储运单位及其人员有下列行为之一的，由县级以上地方人民政府有关主管部门根据情节，依法责令改正、没收违法所得、罚款、警告；造成严重危害后果，构成犯罪的，提请司法机关依法追究刑事责任：</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（一）未按照规定履行市场异常波动报告职责，隐瞒、缓报、谎报或者漏报的；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（二）未按照规定报送监测资料的；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（三）购进、销售假冒伪劣商品及囤积居奇、哄抬物价的；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（四）未按照规定及时采取组织货源等预防控制措施的；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（五）拒绝服从商务主管部门调遣的；</w:t>
            </w:r>
            <w:r>
              <w:rPr>
                <w:rFonts w:hint="eastAsia" w:ascii="仿宋_GB2312" w:hAnsi="仿宋_GB2312" w:eastAsia="仿宋_GB2312" w:cs="仿宋_GB2312"/>
                <w:b w:val="0"/>
                <w:i w:val="0"/>
                <w:caps w:val="0"/>
                <w:color w:val="000000"/>
                <w:spacing w:val="0"/>
                <w:sz w:val="24"/>
                <w:szCs w:val="24"/>
                <w:shd w:val="clear" w:color="080000" w:fill="FFFFFF"/>
              </w:rPr>
              <w:br/>
            </w:r>
            <w:r>
              <w:rPr>
                <w:rFonts w:hint="eastAsia" w:ascii="仿宋_GB2312" w:hAnsi="仿宋_GB2312" w:eastAsia="仿宋_GB2312" w:cs="仿宋_GB2312"/>
                <w:b w:val="0"/>
                <w:i w:val="0"/>
                <w:caps w:val="0"/>
                <w:color w:val="000000"/>
                <w:spacing w:val="0"/>
                <w:sz w:val="24"/>
                <w:szCs w:val="24"/>
                <w:shd w:val="clear" w:color="080000" w:fill="FFFFFF"/>
              </w:rPr>
              <w:t>　　（六）拒绝、阻碍或者不配合现场调查、资料收集及监督检查的。</w:t>
            </w:r>
          </w:p>
          <w:p>
            <w:pPr>
              <w:pStyle w:val="2"/>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right="0"/>
              <w:rPr>
                <w:rFonts w:hint="eastAsia" w:ascii="仿宋_GB2312" w:hAnsi="仿宋_GB2312" w:eastAsia="仿宋_GB2312" w:cs="仿宋_GB2312"/>
                <w:b w:val="0"/>
                <w:i w:val="0"/>
                <w:caps w:val="0"/>
                <w:color w:val="333333"/>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060000" w:fill="FFFFFF"/>
              <w:spacing w:before="210" w:beforeAutospacing="0" w:after="210" w:afterAutospacing="0" w:line="420" w:lineRule="atLeast"/>
              <w:ind w:left="0" w:right="0" w:firstLine="0"/>
              <w:jc w:val="left"/>
              <w:rPr>
                <w:rFonts w:hint="eastAsia" w:ascii="仿宋_GB2312" w:hAnsi="仿宋_GB2312" w:eastAsia="仿宋_GB2312" w:cs="仿宋_GB2312"/>
                <w:b w:val="0"/>
                <w:i w:val="0"/>
                <w:caps w:val="0"/>
                <w:color w:val="000000"/>
                <w:spacing w:val="0"/>
                <w:sz w:val="24"/>
                <w:szCs w:val="24"/>
              </w:rPr>
            </w:pPr>
          </w:p>
          <w:p>
            <w:pPr>
              <w:widowControl/>
              <w:shd w:val="clear" w:color="auto" w:fill="FFFFFF"/>
              <w:spacing w:line="360" w:lineRule="atLeast"/>
              <w:jc w:val="left"/>
              <w:rPr>
                <w:rFonts w:hint="eastAsia" w:ascii="仿宋_GB2312" w:hAnsi="仿宋_GB2312" w:eastAsia="仿宋_GB2312" w:cs="仿宋_GB2312"/>
                <w:color w:val="333333"/>
                <w:kern w:val="0"/>
                <w:sz w:val="24"/>
                <w:szCs w:val="24"/>
              </w:rPr>
            </w:pPr>
          </w:p>
          <w:p>
            <w:pPr>
              <w:widowControl/>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承办机构</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咨询方式</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监督投诉方式</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审核意见</w:t>
            </w:r>
          </w:p>
        </w:tc>
        <w:tc>
          <w:tcPr>
            <w:tcW w:w="6865" w:type="dxa"/>
            <w:vAlign w:val="center"/>
          </w:tcPr>
          <w:p>
            <w:pPr>
              <w:widowControl/>
              <w:jc w:val="left"/>
              <w:rPr>
                <w:rFonts w:eastAsia="仿宋_GB2312"/>
                <w:kern w:val="0"/>
                <w:sz w:val="24"/>
                <w:szCs w:val="24"/>
              </w:rPr>
            </w:pPr>
            <w:r>
              <w:rPr>
                <w:rFonts w:eastAsia="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备注</w:t>
            </w:r>
          </w:p>
        </w:tc>
        <w:tc>
          <w:tcPr>
            <w:tcW w:w="6865" w:type="dxa"/>
            <w:vAlign w:val="center"/>
          </w:tcPr>
          <w:p>
            <w:pPr>
              <w:widowControl/>
              <w:jc w:val="left"/>
              <w:rPr>
                <w:kern w:val="0"/>
                <w:sz w:val="24"/>
              </w:rPr>
            </w:pPr>
            <w:r>
              <w:rPr>
                <w:rFonts w:hAnsi="宋体"/>
                <w:kern w:val="0"/>
                <w:sz w:val="24"/>
              </w:rPr>
              <w:t>　</w:t>
            </w:r>
          </w:p>
        </w:tc>
      </w:tr>
    </w:tbl>
    <w:p>
      <w:pPr>
        <w:spacing w:line="360" w:lineRule="exact"/>
        <w:ind w:firstLine="420" w:firstLineChars="200"/>
      </w:pPr>
      <w:r>
        <w:rPr>
          <w:rFonts w:hint="eastAsia" w:ascii="仿宋_GB2312" w:hAnsi="仿宋_GB2312" w:eastAsia="仿宋_GB2312" w:cs="仿宋_GB2312"/>
          <w:szCs w:val="21"/>
        </w:rPr>
        <w:t>注：1.表格要素原则上为必填项，确无对应内容则填报“无”；2.填报内容使用12号仿宋字体；3.其他填报要求详见附件9。</w:t>
      </w:r>
    </w:p>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_GBK">
    <w:altName w:val="宋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4290730">
    <w:nsid w:val="56AEB72A"/>
    <w:multiLevelType w:val="singleLevel"/>
    <w:tmpl w:val="56AEB72A"/>
    <w:lvl w:ilvl="0" w:tentative="1">
      <w:start w:val="3"/>
      <w:numFmt w:val="decimal"/>
      <w:suff w:val="nothing"/>
      <w:lvlText w:val="%1."/>
      <w:lvlJc w:val="left"/>
    </w:lvl>
  </w:abstractNum>
  <w:abstractNum w:abstractNumId="1454290671">
    <w:nsid w:val="56AEB6EF"/>
    <w:multiLevelType w:val="singleLevel"/>
    <w:tmpl w:val="56AEB6EF"/>
    <w:lvl w:ilvl="0" w:tentative="1">
      <w:start w:val="1"/>
      <w:numFmt w:val="decimal"/>
      <w:suff w:val="nothing"/>
      <w:lvlText w:val="%1."/>
      <w:lvlJc w:val="left"/>
    </w:lvl>
  </w:abstractNum>
  <w:num w:numId="1">
    <w:abstractNumId w:val="1454290671"/>
  </w:num>
  <w:num w:numId="2">
    <w:abstractNumId w:val="14542907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2A50B86"/>
    <w:rsid w:val="12A50B86"/>
    <w:rsid w:val="2DBB2395"/>
    <w:rsid w:val="56937896"/>
    <w:rsid w:val="78946FB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2016-02-01T01:40:00Z</dcterms:created>
  <dc:creator>Administrator</dc:creator>
  <cp:lastModifiedBy>Administrator</cp:lastModifiedBy>
  <dcterms:modified xsi:type="dcterms:W3CDTF">2016-02-16T00:47:27Z</dcterms:modified>
  <dc:title>行政职权基本信息表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