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黑体" w:hAnsi="黑体" w:eastAsia="黑体" w:cs="黑体"/>
          <w:sz w:val="36"/>
          <w:szCs w:val="36"/>
        </w:rPr>
      </w:pPr>
      <w:r>
        <w:rPr>
          <w:rFonts w:hint="eastAsia" w:ascii="黑体" w:hAnsi="黑体" w:eastAsia="黑体" w:cs="黑体"/>
          <w:sz w:val="36"/>
          <w:szCs w:val="36"/>
          <w:lang w:val="en-US" w:eastAsia="zh-CN"/>
        </w:rPr>
        <w:t>2021</w:t>
      </w:r>
      <w:r>
        <w:rPr>
          <w:rFonts w:hint="eastAsia" w:ascii="黑体" w:hAnsi="黑体" w:eastAsia="黑体" w:cs="黑体"/>
          <w:sz w:val="36"/>
          <w:szCs w:val="36"/>
        </w:rPr>
        <w:t>年度农贸市场改造专项经费项目自评表</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334"/>
        <w:gridCol w:w="985"/>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kern w:val="0"/>
              </w:rPr>
            </w:pPr>
            <w:r>
              <w:rPr>
                <w:rFonts w:hint="eastAsia" w:ascii="仿宋" w:hAnsi="仿宋" w:eastAsia="仿宋" w:cs="仿宋_GB2312"/>
                <w:kern w:val="0"/>
                <w:sz w:val="24"/>
              </w:rPr>
              <w:t>农贸市场改造专项经费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kern w:val="0"/>
              </w:rPr>
            </w:pPr>
            <w:r>
              <w:rPr>
                <w:rFonts w:hint="eastAsia" w:ascii="仿宋" w:hAnsi="仿宋" w:eastAsia="仿宋" w:cs="楷体_GB2312"/>
                <w:kern w:val="0"/>
                <w:sz w:val="24"/>
              </w:rPr>
              <w:t>黄石市商务局</w:t>
            </w:r>
          </w:p>
        </w:tc>
        <w:tc>
          <w:tcPr>
            <w:tcW w:w="2194"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862" w:type="dxa"/>
            <w:gridSpan w:val="2"/>
            <w:vAlign w:val="center"/>
          </w:tcPr>
          <w:p>
            <w:pPr>
              <w:widowControl/>
              <w:snapToGrid w:val="0"/>
              <w:jc w:val="center"/>
              <w:rPr>
                <w:rFonts w:ascii="仿宋_GB2312" w:hAnsi="宋体" w:eastAsia="仿宋_GB2312"/>
                <w:kern w:val="0"/>
              </w:rPr>
            </w:pPr>
            <w:r>
              <w:rPr>
                <w:rFonts w:hint="eastAsia" w:ascii="仿宋" w:hAnsi="仿宋" w:eastAsia="仿宋" w:cs="楷体_GB2312"/>
                <w:kern w:val="0"/>
                <w:sz w:val="24"/>
              </w:rPr>
              <w:t>黄石市商务局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 w:hAnsi="MS Mincho" w:eastAsia="MS Mincho" w:cs="MS Mincho"/>
                <w:kern w:val="0"/>
                <w:sz w:val="24"/>
              </w:rPr>
              <w:t>☑</w:t>
            </w:r>
            <w:r>
              <w:rPr>
                <w:rFonts w:ascii="仿宋" w:hAnsi="仿宋" w:eastAsia="仿宋" w:cs="仿宋_GB2312"/>
                <w:kern w:val="0"/>
                <w:sz w:val="24"/>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 w:hAnsi="MS Mincho" w:eastAsia="MS Mincho" w:cs="MS Mincho"/>
                <w:kern w:val="0"/>
                <w:sz w:val="24"/>
              </w:rPr>
              <w:t>☑</w:t>
            </w:r>
            <w:r>
              <w:rPr>
                <w:rFonts w:ascii="仿宋" w:hAnsi="仿宋" w:eastAsia="仿宋" w:cs="仿宋_GB2312"/>
                <w:kern w:val="0"/>
                <w:sz w:val="24"/>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 w:hAnsi="MS Mincho" w:eastAsia="MS Mincho" w:cs="MS Mincho"/>
                <w:kern w:val="0"/>
                <w:sz w:val="24"/>
              </w:rPr>
              <w:t>☑</w:t>
            </w:r>
            <w:r>
              <w:rPr>
                <w:rFonts w:ascii="仿宋" w:hAnsi="仿宋" w:eastAsia="仿宋" w:cs="仿宋_GB2312"/>
                <w:kern w:val="0"/>
                <w:sz w:val="24"/>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400</w:t>
            </w:r>
          </w:p>
        </w:tc>
        <w:tc>
          <w:tcPr>
            <w:tcW w:w="1317"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369.49</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92.37%</w:t>
            </w:r>
          </w:p>
        </w:tc>
        <w:tc>
          <w:tcPr>
            <w:tcW w:w="2196" w:type="dxa"/>
            <w:gridSpan w:val="3"/>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highlight w:val="none"/>
              </w:rPr>
            </w:pPr>
            <w:r>
              <w:rPr>
                <w:rFonts w:hint="eastAsia" w:ascii="仿宋_GB2312" w:hAnsi="宋体" w:eastAsia="仿宋_GB2312" w:cs="仿宋_GB2312"/>
                <w:kern w:val="0"/>
                <w:highlight w:val="none"/>
              </w:rPr>
              <w:t>实际完成值（</w:t>
            </w:r>
            <w:r>
              <w:rPr>
                <w:rFonts w:ascii="仿宋_GB2312" w:hAnsi="宋体" w:eastAsia="仿宋_GB2312" w:cs="仿宋_GB2312"/>
                <w:kern w:val="0"/>
                <w:highlight w:val="none"/>
              </w:rPr>
              <w:t>B</w:t>
            </w:r>
            <w:r>
              <w:rPr>
                <w:rFonts w:hint="eastAsia" w:ascii="仿宋_GB2312" w:hAnsi="宋体" w:eastAsia="仿宋_GB2312" w:cs="仿宋_GB2312"/>
                <w:kern w:val="0"/>
                <w:highlight w:val="none"/>
              </w:rPr>
              <w:t>）</w:t>
            </w:r>
          </w:p>
        </w:tc>
        <w:tc>
          <w:tcPr>
            <w:tcW w:w="877"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数量指标</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农贸市场改造数量</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42家</w:t>
            </w:r>
          </w:p>
        </w:tc>
        <w:tc>
          <w:tcPr>
            <w:tcW w:w="1319" w:type="dxa"/>
            <w:gridSpan w:val="2"/>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6家</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ascii="仿宋_GB2312" w:hAnsi="宋体" w:eastAsia="仿宋_GB2312"/>
                <w:kern w:val="0"/>
              </w:rPr>
            </w:pP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分布式社区肉菜店新建数量</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30家</w:t>
            </w:r>
          </w:p>
        </w:tc>
        <w:tc>
          <w:tcPr>
            <w:tcW w:w="1319" w:type="dxa"/>
            <w:gridSpan w:val="2"/>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30家</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hint="eastAsia" w:ascii="仿宋_GB2312" w:hAnsi="宋体" w:eastAsia="仿宋_GB2312" w:cstheme="minorBidi"/>
                <w:kern w:val="0"/>
                <w:sz w:val="21"/>
                <w:szCs w:val="24"/>
                <w:lang w:val="en-US" w:eastAsia="zh-CN" w:bidi="ar-SA"/>
              </w:rPr>
            </w:pPr>
            <w:r>
              <w:rPr>
                <w:rFonts w:hint="eastAsia" w:ascii="仿宋_GB2312" w:hAnsi="宋体" w:eastAsia="仿宋_GB2312"/>
                <w:kern w:val="0"/>
                <w:lang w:eastAsia="zh-CN"/>
              </w:rPr>
              <w:t>时效指标</w:t>
            </w:r>
          </w:p>
        </w:tc>
        <w:tc>
          <w:tcPr>
            <w:tcW w:w="2636" w:type="dxa"/>
            <w:gridSpan w:val="3"/>
            <w:vAlign w:val="center"/>
          </w:tcPr>
          <w:p>
            <w:pPr>
              <w:widowControl/>
              <w:snapToGrid w:val="0"/>
              <w:jc w:val="center"/>
              <w:rPr>
                <w:rFonts w:hint="default" w:ascii="仿宋_GB2312" w:hAnsi="宋体" w:eastAsia="仿宋_GB2312" w:cstheme="minorBidi"/>
                <w:kern w:val="0"/>
                <w:sz w:val="21"/>
                <w:szCs w:val="24"/>
                <w:lang w:val="en-US" w:eastAsia="zh-CN" w:bidi="ar-SA"/>
              </w:rPr>
            </w:pPr>
            <w:r>
              <w:rPr>
                <w:rFonts w:hint="eastAsia" w:ascii="仿宋_GB2312" w:hAnsi="宋体" w:eastAsia="仿宋_GB2312"/>
                <w:kern w:val="0"/>
                <w:lang w:val="en-US" w:eastAsia="zh-CN"/>
              </w:rPr>
              <w:t>2021年专项</w:t>
            </w:r>
          </w:p>
        </w:tc>
        <w:tc>
          <w:tcPr>
            <w:tcW w:w="1466" w:type="dxa"/>
            <w:vAlign w:val="center"/>
          </w:tcPr>
          <w:p>
            <w:pPr>
              <w:widowControl/>
              <w:snapToGrid w:val="0"/>
              <w:jc w:val="center"/>
              <w:rPr>
                <w:rFonts w:hint="default" w:ascii="仿宋_GB2312" w:hAnsi="宋体" w:eastAsia="仿宋_GB2312" w:cstheme="minorBidi"/>
                <w:kern w:val="0"/>
                <w:sz w:val="21"/>
                <w:szCs w:val="24"/>
                <w:lang w:val="en-US" w:eastAsia="zh-CN" w:bidi="ar-SA"/>
              </w:rPr>
            </w:pPr>
            <w:r>
              <w:rPr>
                <w:rFonts w:hint="eastAsia" w:ascii="仿宋_GB2312" w:hAnsi="宋体" w:eastAsia="仿宋_GB2312"/>
                <w:kern w:val="0"/>
                <w:lang w:val="en-US" w:eastAsia="zh-CN"/>
              </w:rPr>
              <w:t>2021年12月前完成</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2021年12月前完成</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质量指标</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市场改造工程质量达标率</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100%</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hint="eastAsia" w:ascii="仿宋_GB2312" w:hAnsi="宋体" w:eastAsia="仿宋_GB2312" w:cstheme="minorBidi"/>
                <w:kern w:val="0"/>
                <w:sz w:val="21"/>
                <w:szCs w:val="24"/>
                <w:lang w:val="en-US" w:eastAsia="zh-CN" w:bidi="ar-SA"/>
              </w:rPr>
            </w:pPr>
            <w:r>
              <w:rPr>
                <w:rFonts w:hint="eastAsia" w:ascii="仿宋_GB2312" w:hAnsi="宋体" w:eastAsia="仿宋_GB2312"/>
                <w:kern w:val="0"/>
                <w:lang w:eastAsia="zh-CN"/>
              </w:rPr>
              <w:t>成本指标</w:t>
            </w:r>
          </w:p>
        </w:tc>
        <w:tc>
          <w:tcPr>
            <w:tcW w:w="2636" w:type="dxa"/>
            <w:gridSpan w:val="3"/>
            <w:vAlign w:val="center"/>
          </w:tcPr>
          <w:p>
            <w:pPr>
              <w:widowControl/>
              <w:snapToGrid w:val="0"/>
              <w:jc w:val="center"/>
              <w:rPr>
                <w:rFonts w:hint="eastAsia" w:ascii="仿宋_GB2312" w:hAnsi="宋体" w:eastAsia="仿宋_GB2312" w:cstheme="minorBidi"/>
                <w:kern w:val="0"/>
                <w:sz w:val="21"/>
                <w:szCs w:val="24"/>
                <w:lang w:val="en-US" w:eastAsia="zh-CN" w:bidi="ar-SA"/>
              </w:rPr>
            </w:pPr>
            <w:r>
              <w:rPr>
                <w:rFonts w:hint="eastAsia" w:ascii="仿宋_GB2312" w:hAnsi="宋体" w:eastAsia="仿宋_GB2312"/>
                <w:kern w:val="0"/>
                <w:lang w:val="en-US" w:eastAsia="zh-CN"/>
              </w:rPr>
              <w:t>预算资金节约率</w:t>
            </w:r>
          </w:p>
        </w:tc>
        <w:tc>
          <w:tcPr>
            <w:tcW w:w="1466" w:type="dxa"/>
            <w:vAlign w:val="center"/>
          </w:tcPr>
          <w:p>
            <w:pPr>
              <w:widowControl/>
              <w:snapToGrid w:val="0"/>
              <w:jc w:val="center"/>
              <w:rPr>
                <w:rFonts w:hint="eastAsia" w:ascii="仿宋_GB2312" w:hAnsi="宋体" w:eastAsia="仿宋_GB2312" w:cstheme="minorBidi"/>
                <w:kern w:val="0"/>
                <w:sz w:val="21"/>
                <w:szCs w:val="24"/>
                <w:lang w:val="en-US" w:eastAsia="zh-CN" w:bidi="ar-SA"/>
              </w:rPr>
            </w:pPr>
            <w:r>
              <w:rPr>
                <w:rFonts w:hint="eastAsia" w:ascii="仿宋_GB2312" w:hAnsi="宋体" w:eastAsia="仿宋_GB2312"/>
                <w:kern w:val="0"/>
                <w:lang w:val="en-US" w:eastAsia="zh-CN"/>
              </w:rPr>
              <w:t>10%</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7.63%</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社会效益</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改善全市农贸</w:t>
            </w:r>
            <w:r>
              <w:rPr>
                <w:rFonts w:hint="eastAsia" w:ascii="仿宋_GB2312" w:hAnsi="宋体" w:eastAsia="仿宋_GB2312"/>
                <w:kern w:val="0"/>
                <w:lang w:eastAsia="zh-CN"/>
              </w:rPr>
              <w:t>市场</w:t>
            </w:r>
            <w:r>
              <w:rPr>
                <w:rFonts w:hint="eastAsia" w:ascii="仿宋_GB2312" w:hAnsi="宋体" w:eastAsia="仿宋_GB2312"/>
                <w:kern w:val="0"/>
              </w:rPr>
              <w:t>经营水平，提升业态能级，提高市民幸福感</w:t>
            </w:r>
          </w:p>
        </w:tc>
        <w:tc>
          <w:tcPr>
            <w:tcW w:w="1466"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显著提升</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rPr>
              <w:t>显著提升</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both"/>
              <w:rPr>
                <w:rFonts w:ascii="仿宋_GB2312" w:hAnsi="宋体" w:eastAsia="仿宋_GB2312"/>
                <w:kern w:val="0"/>
              </w:rPr>
            </w:pPr>
            <w:r>
              <w:rPr>
                <w:rFonts w:hint="eastAsia" w:ascii="仿宋_GB2312" w:hAnsi="宋体" w:eastAsia="仿宋_GB2312"/>
                <w:kern w:val="0"/>
                <w:lang w:eastAsia="zh-CN"/>
              </w:rPr>
              <w:t>环境效益</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提升农贸市场经营环境</w:t>
            </w:r>
          </w:p>
        </w:tc>
        <w:tc>
          <w:tcPr>
            <w:tcW w:w="1466"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显著提升</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rPr>
              <w:t>显著提升</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服务对象满意度</w:t>
            </w:r>
            <w:r>
              <w:rPr>
                <w:rFonts w:hint="eastAsia" w:ascii="仿宋_GB2312" w:hAnsi="宋体" w:eastAsia="仿宋_GB2312" w:cs="仿宋_GB2312"/>
                <w:kern w:val="0"/>
                <w:lang w:eastAsia="zh-CN"/>
              </w:rPr>
              <w:t>指标</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kern w:val="0"/>
              </w:rPr>
              <w:t>服务对象满意度</w:t>
            </w:r>
          </w:p>
        </w:tc>
        <w:tc>
          <w:tcPr>
            <w:tcW w:w="1466"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≧95%</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95%</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jc w:val="center"/>
        </w:trPr>
        <w:tc>
          <w:tcPr>
            <w:tcW w:w="1528" w:type="dxa"/>
            <w:gridSpan w:val="2"/>
            <w:vAlign w:val="center"/>
          </w:tcPr>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偏差大或</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目标未完成</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原因分析</w:t>
            </w:r>
          </w:p>
        </w:tc>
        <w:tc>
          <w:tcPr>
            <w:tcW w:w="7420" w:type="dxa"/>
            <w:gridSpan w:val="8"/>
            <w:vAlign w:val="center"/>
          </w:tcPr>
          <w:p>
            <w:pPr>
              <w:widowControl/>
              <w:jc w:val="left"/>
              <w:rPr>
                <w:rFonts w:hint="eastAsia" w:ascii="仿宋_GB2312" w:hAnsi="宋体" w:eastAsia="仿宋_GB2312" w:cs="仿宋_GB2312"/>
                <w:kern w:val="0"/>
                <w:highlight w:val="none"/>
              </w:rPr>
            </w:pPr>
            <w:r>
              <w:rPr>
                <w:rFonts w:hint="eastAsia" w:ascii="仿宋_GB2312" w:hAnsi="宋体" w:eastAsia="仿宋_GB2312" w:cs="仿宋_GB2312"/>
                <w:kern w:val="0"/>
                <w:highlight w:val="none"/>
              </w:rPr>
              <w:t>一是各城区主动作为不足，推进速度十分缓慢。各区没有积极协调解决问题，导致设计单位在等待市场业主确认平面图（效果图）时花费大量时间，对产权有问题的市场至今没有拿出解决方案，有的市开工又停工，或是已完成施工图长达数月，迟迟不能开工等情况，暴露了各城区政府在推动工作开展方面存在一定问题。二是还有部分市场业主对改造的认识不足，不愿意投入资金，存在侥幸心理，积极性不高。三是国有平台公司纠结于公司短期利益，服务大局观念淡薄，工作缺乏计划性，存在消极等待心理，导致国有农贸市场移交和民营市场的收购停滞不前。四是由于补贴政策不明朗，部分市场等待观望心态严重。市城区农贸市场改造领导小组至今已拨付近160 万奖补资金用于市场改造，但还不足以增强市场业主信心。</w:t>
            </w:r>
          </w:p>
          <w:p>
            <w:pPr>
              <w:widowControl/>
              <w:jc w:val="left"/>
              <w:rPr>
                <w:rFonts w:ascii="仿宋_GB2312" w:hAnsi="宋体" w:eastAsia="仿宋_GB2312"/>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1528" w:type="dxa"/>
            <w:gridSpan w:val="2"/>
            <w:vAlign w:val="center"/>
          </w:tcPr>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改进措施及</w:t>
            </w:r>
          </w:p>
          <w:p>
            <w:pPr>
              <w:widowControl/>
              <w:jc w:val="center"/>
              <w:rPr>
                <w:rFonts w:ascii="仿宋_GB2312" w:hAnsi="宋体" w:eastAsia="仿宋_GB2312"/>
                <w:kern w:val="0"/>
                <w:highlight w:val="none"/>
              </w:rPr>
            </w:pPr>
            <w:r>
              <w:rPr>
                <w:rFonts w:hint="eastAsia" w:ascii="仿宋_GB2312" w:hAnsi="宋体" w:eastAsia="仿宋_GB2312" w:cs="仿宋_GB2312"/>
                <w:kern w:val="0"/>
                <w:highlight w:val="none"/>
              </w:rPr>
              <w:t>结果应用方案</w:t>
            </w:r>
          </w:p>
        </w:tc>
        <w:tc>
          <w:tcPr>
            <w:tcW w:w="7420" w:type="dxa"/>
            <w:gridSpan w:val="8"/>
            <w:vAlign w:val="center"/>
          </w:tcPr>
          <w:p>
            <w:pPr>
              <w:widowControl/>
              <w:jc w:val="left"/>
              <w:rPr>
                <w:rFonts w:hint="eastAsia" w:ascii="仿宋_GB2312" w:hAnsi="宋体" w:eastAsia="仿宋_GB2312" w:cs="仿宋_GB2312"/>
                <w:kern w:val="0"/>
                <w:highlight w:val="none"/>
              </w:rPr>
            </w:pPr>
            <w:r>
              <w:rPr>
                <w:rFonts w:hint="eastAsia" w:ascii="仿宋_GB2312" w:hAnsi="宋体" w:eastAsia="仿宋_GB2312" w:cs="仿宋_GB2312"/>
                <w:kern w:val="0"/>
                <w:highlight w:val="none"/>
                <w:lang w:val="en-US" w:eastAsia="zh-CN"/>
              </w:rPr>
              <w:t>1、制定切实的</w:t>
            </w:r>
            <w:r>
              <w:rPr>
                <w:rFonts w:hint="eastAsia" w:ascii="仿宋_GB2312" w:hAnsi="宋体" w:eastAsia="仿宋_GB2312" w:cs="仿宋_GB2312"/>
                <w:kern w:val="0"/>
                <w:highlight w:val="none"/>
              </w:rPr>
              <w:t>目标任务。各城区</w:t>
            </w:r>
            <w:r>
              <w:rPr>
                <w:rFonts w:hint="eastAsia" w:ascii="仿宋_GB2312" w:hAnsi="宋体" w:eastAsia="仿宋_GB2312" w:cs="仿宋_GB2312"/>
                <w:kern w:val="0"/>
                <w:highlight w:val="none"/>
                <w:lang w:val="en-US" w:eastAsia="zh-CN"/>
              </w:rPr>
              <w:t>再次摸底，根据“应改尽改”的原则，据实</w:t>
            </w:r>
            <w:r>
              <w:rPr>
                <w:rFonts w:hint="eastAsia" w:ascii="仿宋_GB2312" w:hAnsi="宋体" w:eastAsia="仿宋_GB2312" w:cs="仿宋_GB2312"/>
                <w:kern w:val="0"/>
                <w:highlight w:val="none"/>
              </w:rPr>
              <w:t>制</w:t>
            </w:r>
            <w:r>
              <w:rPr>
                <w:rFonts w:hint="eastAsia" w:ascii="仿宋_GB2312" w:hAnsi="宋体" w:eastAsia="仿宋_GB2312" w:cs="仿宋_GB2312"/>
                <w:kern w:val="0"/>
                <w:highlight w:val="none"/>
                <w:lang w:val="en-US" w:eastAsia="zh-CN"/>
              </w:rPr>
              <w:t>订2022年度</w:t>
            </w:r>
            <w:r>
              <w:rPr>
                <w:rFonts w:hint="eastAsia" w:ascii="仿宋_GB2312" w:hAnsi="宋体" w:eastAsia="仿宋_GB2312" w:cs="仿宋_GB2312"/>
                <w:kern w:val="0"/>
                <w:highlight w:val="none"/>
              </w:rPr>
              <w:t>改造目标任务计划</w:t>
            </w:r>
            <w:r>
              <w:rPr>
                <w:rFonts w:hint="eastAsia" w:ascii="仿宋_GB2312" w:hAnsi="宋体" w:eastAsia="仿宋_GB2312" w:cs="仿宋_GB2312"/>
                <w:kern w:val="0"/>
                <w:highlight w:val="none"/>
                <w:lang w:eastAsia="zh-CN"/>
              </w:rPr>
              <w:t>，</w:t>
            </w:r>
            <w:r>
              <w:rPr>
                <w:rFonts w:hint="eastAsia" w:ascii="仿宋_GB2312" w:hAnsi="宋体" w:eastAsia="仿宋_GB2312" w:cs="仿宋_GB2312"/>
                <w:kern w:val="0"/>
                <w:highlight w:val="none"/>
              </w:rPr>
              <w:t>报</w:t>
            </w:r>
            <w:r>
              <w:rPr>
                <w:rFonts w:hint="eastAsia" w:ascii="仿宋_GB2312" w:hAnsi="宋体" w:eastAsia="仿宋_GB2312" w:cs="仿宋_GB2312"/>
                <w:kern w:val="0"/>
                <w:highlight w:val="none"/>
                <w:lang w:val="en-US" w:eastAsia="zh-CN"/>
              </w:rPr>
              <w:t>市</w:t>
            </w:r>
            <w:r>
              <w:rPr>
                <w:rFonts w:hint="eastAsia" w:ascii="仿宋_GB2312" w:hAnsi="宋体" w:eastAsia="仿宋_GB2312" w:cs="仿宋_GB2312"/>
                <w:kern w:val="0"/>
                <w:highlight w:val="none"/>
              </w:rPr>
              <w:t>领导小组办公室备案</w:t>
            </w:r>
            <w:r>
              <w:rPr>
                <w:rFonts w:hint="eastAsia" w:ascii="仿宋_GB2312" w:hAnsi="宋体" w:eastAsia="仿宋_GB2312" w:cs="仿宋_GB2312"/>
                <w:kern w:val="0"/>
                <w:highlight w:val="none"/>
                <w:lang w:eastAsia="zh-CN"/>
              </w:rPr>
              <w:t>，</w:t>
            </w:r>
            <w:r>
              <w:rPr>
                <w:rFonts w:hint="eastAsia" w:ascii="仿宋_GB2312" w:hAnsi="宋体" w:eastAsia="仿宋_GB2312" w:cs="仿宋_GB2312"/>
                <w:kern w:val="0"/>
                <w:highlight w:val="none"/>
                <w:lang w:val="en-US" w:eastAsia="zh-CN"/>
              </w:rPr>
              <w:t>确保</w:t>
            </w:r>
            <w:r>
              <w:rPr>
                <w:rFonts w:hint="eastAsia" w:ascii="仿宋_GB2312" w:hAnsi="宋体" w:eastAsia="仿宋_GB2312" w:cs="仿宋_GB2312"/>
                <w:kern w:val="0"/>
                <w:highlight w:val="none"/>
              </w:rPr>
              <w:t>完成全部改造工作。</w:t>
            </w:r>
          </w:p>
          <w:p>
            <w:pPr>
              <w:widowControl/>
              <w:jc w:val="left"/>
              <w:rPr>
                <w:rFonts w:hint="eastAsia" w:ascii="仿宋_GB2312" w:hAnsi="宋体" w:eastAsia="仿宋_GB2312" w:cs="仿宋_GB2312"/>
                <w:kern w:val="0"/>
                <w:highlight w:val="none"/>
                <w:lang w:val="en-US" w:eastAsia="zh-CN"/>
              </w:rPr>
            </w:pPr>
            <w:r>
              <w:rPr>
                <w:rFonts w:hint="eastAsia" w:ascii="仿宋_GB2312" w:hAnsi="宋体" w:eastAsia="仿宋_GB2312" w:cs="仿宋_GB2312"/>
                <w:kern w:val="0"/>
                <w:highlight w:val="none"/>
                <w:lang w:val="en-US" w:eastAsia="zh-CN"/>
              </w:rPr>
              <w:t>2、</w:t>
            </w:r>
            <w:r>
              <w:rPr>
                <w:rFonts w:hint="eastAsia" w:ascii="仿宋_GB2312" w:hAnsi="宋体" w:eastAsia="仿宋_GB2312" w:cs="仿宋_GB2312"/>
                <w:kern w:val="0"/>
                <w:highlight w:val="none"/>
              </w:rPr>
              <w:t>压实属地</w:t>
            </w:r>
            <w:r>
              <w:rPr>
                <w:rFonts w:hint="eastAsia" w:ascii="仿宋_GB2312" w:hAnsi="宋体" w:eastAsia="仿宋_GB2312" w:cs="仿宋_GB2312"/>
                <w:kern w:val="0"/>
                <w:highlight w:val="none"/>
                <w:lang w:val="en-US" w:eastAsia="zh-CN"/>
              </w:rPr>
              <w:t>政府</w:t>
            </w:r>
            <w:r>
              <w:rPr>
                <w:rFonts w:hint="eastAsia" w:ascii="仿宋_GB2312" w:hAnsi="宋体" w:eastAsia="仿宋_GB2312" w:cs="仿宋_GB2312"/>
                <w:kern w:val="0"/>
                <w:highlight w:val="none"/>
              </w:rPr>
              <w:t>责任</w:t>
            </w:r>
            <w:r>
              <w:rPr>
                <w:rFonts w:hint="eastAsia" w:ascii="仿宋_GB2312" w:hAnsi="宋体" w:eastAsia="仿宋_GB2312" w:cs="仿宋_GB2312"/>
                <w:kern w:val="0"/>
                <w:highlight w:val="none"/>
                <w:lang w:eastAsia="zh-CN"/>
              </w:rPr>
              <w:t>。</w:t>
            </w:r>
            <w:r>
              <w:rPr>
                <w:rFonts w:hint="eastAsia" w:ascii="仿宋_GB2312" w:hAnsi="宋体" w:eastAsia="仿宋_GB2312" w:cs="仿宋_GB2312"/>
                <w:kern w:val="0"/>
                <w:highlight w:val="none"/>
                <w:lang w:val="en-US" w:eastAsia="zh-CN"/>
              </w:rPr>
              <w:t>进一步</w:t>
            </w:r>
            <w:r>
              <w:rPr>
                <w:rFonts w:hint="eastAsia" w:ascii="仿宋_GB2312" w:hAnsi="宋体" w:eastAsia="仿宋_GB2312" w:cs="仿宋_GB2312"/>
                <w:kern w:val="0"/>
                <w:highlight w:val="none"/>
              </w:rPr>
              <w:t>压实城区政府主体责任，督促</w:t>
            </w:r>
            <w:r>
              <w:rPr>
                <w:rFonts w:hint="eastAsia" w:ascii="仿宋_GB2312" w:hAnsi="宋体" w:eastAsia="仿宋_GB2312" w:cs="仿宋_GB2312"/>
                <w:kern w:val="0"/>
                <w:highlight w:val="none"/>
                <w:lang w:val="en-US" w:eastAsia="zh-CN"/>
              </w:rPr>
              <w:t>由各</w:t>
            </w:r>
            <w:r>
              <w:rPr>
                <w:rFonts w:hint="eastAsia" w:ascii="仿宋_GB2312" w:hAnsi="宋体" w:eastAsia="仿宋_GB2312" w:cs="仿宋_GB2312"/>
                <w:kern w:val="0"/>
                <w:highlight w:val="none"/>
              </w:rPr>
              <w:t>城区具体负责推进</w:t>
            </w:r>
            <w:r>
              <w:rPr>
                <w:rFonts w:hint="eastAsia" w:ascii="仿宋_GB2312" w:hAnsi="宋体" w:eastAsia="仿宋_GB2312" w:cs="仿宋_GB2312"/>
                <w:kern w:val="0"/>
                <w:highlight w:val="none"/>
                <w:lang w:val="en-US" w:eastAsia="zh-CN"/>
              </w:rPr>
              <w:t>的市场</w:t>
            </w:r>
            <w:r>
              <w:rPr>
                <w:rFonts w:hint="eastAsia" w:ascii="仿宋_GB2312" w:hAnsi="宋体" w:eastAsia="仿宋_GB2312" w:cs="仿宋_GB2312"/>
                <w:kern w:val="0"/>
                <w:highlight w:val="none"/>
              </w:rPr>
              <w:t>整治改造和建设工作</w:t>
            </w:r>
            <w:r>
              <w:rPr>
                <w:rFonts w:hint="eastAsia" w:ascii="仿宋_GB2312" w:hAnsi="宋体" w:eastAsia="仿宋_GB2312" w:cs="仿宋_GB2312"/>
                <w:kern w:val="0"/>
                <w:highlight w:val="none"/>
                <w:lang w:val="en-US" w:eastAsia="zh-CN"/>
              </w:rPr>
              <w:t>的落实</w:t>
            </w:r>
            <w:r>
              <w:rPr>
                <w:rFonts w:hint="eastAsia" w:ascii="仿宋_GB2312" w:hAnsi="宋体" w:eastAsia="仿宋_GB2312" w:cs="仿宋_GB2312"/>
                <w:kern w:val="0"/>
                <w:highlight w:val="none"/>
                <w:lang w:eastAsia="zh-CN"/>
              </w:rPr>
              <w:t>，</w:t>
            </w:r>
            <w:r>
              <w:rPr>
                <w:rFonts w:hint="eastAsia" w:ascii="仿宋_GB2312" w:hAnsi="宋体" w:eastAsia="仿宋_GB2312" w:cs="仿宋_GB2312"/>
                <w:kern w:val="0"/>
                <w:highlight w:val="none"/>
                <w:lang w:val="en-US" w:eastAsia="zh-CN"/>
              </w:rPr>
              <w:t>对</w:t>
            </w:r>
            <w:r>
              <w:rPr>
                <w:rFonts w:hint="eastAsia" w:ascii="仿宋_GB2312" w:hAnsi="宋体" w:eastAsia="仿宋_GB2312" w:cs="仿宋_GB2312"/>
                <w:kern w:val="0"/>
                <w:highlight w:val="none"/>
              </w:rPr>
              <w:t>各城区农贸市场整治改造工作进展情况</w:t>
            </w:r>
            <w:r>
              <w:rPr>
                <w:rFonts w:hint="eastAsia" w:ascii="仿宋_GB2312" w:hAnsi="宋体" w:eastAsia="仿宋_GB2312" w:cs="仿宋_GB2312"/>
                <w:kern w:val="0"/>
                <w:highlight w:val="none"/>
                <w:lang w:eastAsia="zh-CN"/>
              </w:rPr>
              <w:t>，</w:t>
            </w:r>
            <w:r>
              <w:rPr>
                <w:rFonts w:hint="eastAsia" w:ascii="仿宋_GB2312" w:hAnsi="宋体" w:eastAsia="仿宋_GB2312" w:cs="仿宋_GB2312"/>
                <w:kern w:val="0"/>
                <w:highlight w:val="none"/>
                <w:lang w:val="en-US" w:eastAsia="zh-CN"/>
              </w:rPr>
              <w:t>报请</w:t>
            </w:r>
            <w:r>
              <w:rPr>
                <w:rFonts w:hint="eastAsia" w:ascii="仿宋_GB2312" w:hAnsi="宋体" w:eastAsia="仿宋_GB2312" w:cs="仿宋_GB2312"/>
                <w:kern w:val="0"/>
                <w:highlight w:val="none"/>
              </w:rPr>
              <w:t>市政府督查室定期督办</w:t>
            </w:r>
            <w:r>
              <w:rPr>
                <w:rFonts w:hint="eastAsia" w:ascii="仿宋_GB2312" w:hAnsi="宋体" w:eastAsia="仿宋_GB2312" w:cs="仿宋_GB2312"/>
                <w:kern w:val="0"/>
                <w:highlight w:val="none"/>
                <w:lang w:eastAsia="zh-CN"/>
              </w:rPr>
              <w:t>。</w:t>
            </w:r>
          </w:p>
          <w:p>
            <w:pPr>
              <w:widowControl/>
              <w:jc w:val="left"/>
              <w:rPr>
                <w:rFonts w:hint="eastAsia" w:ascii="仿宋_GB2312" w:hAnsi="宋体" w:eastAsia="仿宋_GB2312" w:cs="仿宋_GB2312"/>
                <w:kern w:val="0"/>
                <w:highlight w:val="none"/>
                <w:lang w:eastAsia="zh-CN"/>
              </w:rPr>
            </w:pPr>
            <w:r>
              <w:rPr>
                <w:rFonts w:hint="eastAsia" w:ascii="仿宋_GB2312" w:hAnsi="宋体" w:eastAsia="仿宋_GB2312" w:cs="仿宋_GB2312"/>
                <w:kern w:val="0"/>
                <w:highlight w:val="none"/>
                <w:lang w:val="en-US" w:eastAsia="zh-CN"/>
              </w:rPr>
              <w:t>3、推动奖补政策落地。</w:t>
            </w:r>
            <w:r>
              <w:rPr>
                <w:rFonts w:hint="eastAsia" w:ascii="仿宋_GB2312" w:hAnsi="宋体" w:eastAsia="仿宋_GB2312" w:cs="仿宋_GB2312"/>
                <w:kern w:val="0"/>
                <w:highlight w:val="none"/>
              </w:rPr>
              <w:t>农贸市场整治改造是一项惠民利民工程，也是创文的迫切需要，目前市区两级补贴政策仍未明朗，</w:t>
            </w:r>
            <w:r>
              <w:rPr>
                <w:rFonts w:hint="eastAsia" w:ascii="仿宋_GB2312" w:hAnsi="宋体" w:eastAsia="仿宋_GB2312" w:cs="仿宋_GB2312"/>
                <w:kern w:val="0"/>
                <w:highlight w:val="none"/>
                <w:lang w:val="en-US" w:eastAsia="zh-CN"/>
              </w:rPr>
              <w:t>下一步要大力推动奖</w:t>
            </w:r>
            <w:r>
              <w:rPr>
                <w:rFonts w:hint="eastAsia" w:ascii="仿宋_GB2312" w:hAnsi="宋体" w:eastAsia="仿宋_GB2312" w:cs="仿宋_GB2312"/>
                <w:kern w:val="0"/>
                <w:highlight w:val="none"/>
              </w:rPr>
              <w:t>补政策</w:t>
            </w:r>
            <w:r>
              <w:rPr>
                <w:rFonts w:hint="eastAsia" w:ascii="仿宋_GB2312" w:hAnsi="宋体" w:eastAsia="仿宋_GB2312" w:cs="仿宋_GB2312"/>
                <w:kern w:val="0"/>
                <w:highlight w:val="none"/>
                <w:lang w:val="en-US" w:eastAsia="zh-CN"/>
              </w:rPr>
              <w:t>落实，解决</w:t>
            </w:r>
            <w:r>
              <w:rPr>
                <w:rFonts w:hint="eastAsia" w:ascii="仿宋_GB2312" w:hAnsi="宋体" w:eastAsia="仿宋_GB2312" w:cs="仿宋_GB2312"/>
                <w:kern w:val="0"/>
                <w:highlight w:val="none"/>
              </w:rPr>
              <w:t>我市农贸市场建设</w:t>
            </w:r>
            <w:r>
              <w:rPr>
                <w:rFonts w:hint="eastAsia" w:ascii="仿宋_GB2312" w:hAnsi="宋体" w:eastAsia="仿宋_GB2312" w:cs="仿宋_GB2312"/>
                <w:kern w:val="0"/>
                <w:highlight w:val="none"/>
                <w:lang w:val="en-US" w:eastAsia="zh-CN"/>
              </w:rPr>
              <w:t>资金来源</w:t>
            </w:r>
            <w:bookmarkStart w:id="0" w:name="_GoBack"/>
            <w:bookmarkEnd w:id="0"/>
            <w:r>
              <w:rPr>
                <w:rFonts w:hint="eastAsia" w:ascii="仿宋_GB2312" w:hAnsi="宋体" w:eastAsia="仿宋_GB2312" w:cs="仿宋_GB2312"/>
                <w:kern w:val="0"/>
                <w:highlight w:val="none"/>
              </w:rPr>
              <w:t>问题</w:t>
            </w:r>
            <w:r>
              <w:rPr>
                <w:rFonts w:hint="eastAsia" w:ascii="仿宋_GB2312" w:hAnsi="宋体" w:eastAsia="仿宋_GB2312" w:cs="仿宋_GB2312"/>
                <w:kern w:val="0"/>
                <w:highlight w:val="none"/>
                <w:lang w:eastAsia="zh-CN"/>
              </w:rPr>
              <w:t>，</w:t>
            </w:r>
            <w:r>
              <w:rPr>
                <w:rFonts w:hint="eastAsia" w:ascii="仿宋_GB2312" w:hAnsi="宋体" w:eastAsia="仿宋_GB2312" w:cs="仿宋_GB2312"/>
                <w:kern w:val="0"/>
                <w:highlight w:val="none"/>
                <w:lang w:val="en-US" w:eastAsia="zh-CN"/>
              </w:rPr>
              <w:t>激发</w:t>
            </w:r>
            <w:r>
              <w:rPr>
                <w:rFonts w:hint="eastAsia" w:ascii="仿宋_GB2312" w:hAnsi="宋体" w:eastAsia="仿宋_GB2312" w:cs="仿宋_GB2312"/>
                <w:kern w:val="0"/>
                <w:highlight w:val="none"/>
              </w:rPr>
              <w:t>市场业主参与改造的</w:t>
            </w:r>
            <w:r>
              <w:rPr>
                <w:rFonts w:hint="eastAsia" w:ascii="仿宋_GB2312" w:hAnsi="宋体" w:eastAsia="仿宋_GB2312" w:cs="仿宋_GB2312"/>
                <w:kern w:val="0"/>
                <w:highlight w:val="none"/>
                <w:lang w:val="en-US" w:eastAsia="zh-CN"/>
              </w:rPr>
              <w:t>热情</w:t>
            </w:r>
            <w:r>
              <w:rPr>
                <w:rFonts w:hint="eastAsia" w:ascii="仿宋_GB2312" w:hAnsi="宋体" w:eastAsia="仿宋_GB2312" w:cs="仿宋_GB2312"/>
                <w:kern w:val="0"/>
                <w:highlight w:val="none"/>
                <w:lang w:eastAsia="zh-CN"/>
              </w:rPr>
              <w:t>。</w:t>
            </w:r>
          </w:p>
          <w:p>
            <w:pPr>
              <w:widowControl/>
              <w:jc w:val="left"/>
              <w:rPr>
                <w:rFonts w:hint="eastAsia" w:ascii="仿宋_GB2312" w:hAnsi="宋体" w:eastAsia="仿宋_GB2312" w:cs="仿宋_GB2312"/>
                <w:kern w:val="0"/>
                <w:highlight w:val="none"/>
                <w:lang w:eastAsia="zh-CN"/>
              </w:rPr>
            </w:pPr>
            <w:r>
              <w:rPr>
                <w:rFonts w:hint="eastAsia" w:ascii="仿宋_GB2312" w:hAnsi="宋体" w:eastAsia="仿宋_GB2312" w:cs="仿宋_GB2312"/>
                <w:kern w:val="0"/>
                <w:highlight w:val="none"/>
                <w:lang w:val="en-US" w:eastAsia="zh-CN"/>
              </w:rPr>
              <w:t>4、</w:t>
            </w:r>
            <w:r>
              <w:rPr>
                <w:rFonts w:hint="eastAsia" w:ascii="仿宋_GB2312" w:hAnsi="宋体" w:eastAsia="仿宋_GB2312" w:cs="仿宋_GB2312"/>
                <w:kern w:val="0"/>
                <w:highlight w:val="none"/>
              </w:rPr>
              <w:t>加大督办检查</w:t>
            </w:r>
            <w:r>
              <w:rPr>
                <w:rFonts w:hint="eastAsia" w:ascii="仿宋_GB2312" w:hAnsi="宋体" w:eastAsia="仿宋_GB2312" w:cs="仿宋_GB2312"/>
                <w:kern w:val="0"/>
                <w:highlight w:val="none"/>
                <w:lang w:val="en-US" w:eastAsia="zh-CN"/>
              </w:rPr>
              <w:t>力度</w:t>
            </w:r>
            <w:r>
              <w:rPr>
                <w:rFonts w:hint="eastAsia" w:ascii="仿宋_GB2312" w:hAnsi="宋体" w:eastAsia="仿宋_GB2312" w:cs="仿宋_GB2312"/>
                <w:kern w:val="0"/>
                <w:highlight w:val="none"/>
              </w:rPr>
              <w:t>。</w:t>
            </w:r>
            <w:r>
              <w:rPr>
                <w:rFonts w:hint="eastAsia" w:ascii="仿宋_GB2312" w:hAnsi="宋体" w:eastAsia="仿宋_GB2312" w:cs="仿宋_GB2312"/>
                <w:kern w:val="0"/>
                <w:highlight w:val="none"/>
                <w:lang w:val="en-US" w:eastAsia="zh-CN"/>
              </w:rPr>
              <w:t>一是</w:t>
            </w:r>
            <w:r>
              <w:rPr>
                <w:rFonts w:hint="eastAsia" w:ascii="仿宋_GB2312" w:hAnsi="宋体" w:eastAsia="仿宋_GB2312" w:cs="仿宋_GB2312"/>
                <w:kern w:val="0"/>
                <w:highlight w:val="none"/>
              </w:rPr>
              <w:t>督促各城区严格落实</w:t>
            </w:r>
            <w:r>
              <w:rPr>
                <w:rFonts w:hint="eastAsia" w:ascii="仿宋_GB2312" w:hAnsi="宋体" w:eastAsia="仿宋_GB2312" w:cs="仿宋_GB2312"/>
                <w:kern w:val="0"/>
                <w:highlight w:val="none"/>
                <w:lang w:val="en-US" w:eastAsia="zh-CN"/>
              </w:rPr>
              <w:t>改造推进</w:t>
            </w:r>
            <w:r>
              <w:rPr>
                <w:rFonts w:hint="eastAsia" w:ascii="仿宋_GB2312" w:hAnsi="宋体" w:eastAsia="仿宋_GB2312" w:cs="仿宋_GB2312"/>
                <w:kern w:val="0"/>
                <w:highlight w:val="none"/>
              </w:rPr>
              <w:t>计划</w:t>
            </w:r>
            <w:r>
              <w:rPr>
                <w:rFonts w:hint="eastAsia" w:ascii="仿宋_GB2312" w:hAnsi="宋体" w:eastAsia="仿宋_GB2312" w:cs="仿宋_GB2312"/>
                <w:kern w:val="0"/>
                <w:highlight w:val="none"/>
                <w:lang w:eastAsia="zh-CN"/>
              </w:rPr>
              <w:t>，</w:t>
            </w:r>
            <w:r>
              <w:rPr>
                <w:rFonts w:hint="eastAsia" w:ascii="仿宋_GB2312" w:hAnsi="宋体" w:eastAsia="仿宋_GB2312" w:cs="仿宋_GB2312"/>
                <w:kern w:val="0"/>
                <w:highlight w:val="none"/>
                <w:lang w:val="en-US" w:eastAsia="zh-CN"/>
              </w:rPr>
              <w:t>对过程进行监督，</w:t>
            </w:r>
            <w:r>
              <w:rPr>
                <w:rFonts w:hint="eastAsia" w:ascii="仿宋_GB2312" w:hAnsi="宋体" w:eastAsia="仿宋_GB2312" w:cs="仿宋_GB2312"/>
                <w:kern w:val="0"/>
                <w:highlight w:val="none"/>
              </w:rPr>
              <w:t>积极协调处理疑难问题，同时加强预判，并对不愿参与整治改造的市场研究出台关停措施。</w:t>
            </w:r>
            <w:r>
              <w:rPr>
                <w:rFonts w:hint="eastAsia" w:ascii="仿宋_GB2312" w:hAnsi="宋体" w:eastAsia="仿宋_GB2312" w:cs="仿宋_GB2312"/>
                <w:kern w:val="0"/>
                <w:highlight w:val="none"/>
                <w:lang w:val="en-US" w:eastAsia="zh-CN"/>
              </w:rPr>
              <w:t>二是</w:t>
            </w:r>
            <w:r>
              <w:rPr>
                <w:rFonts w:hint="eastAsia" w:ascii="仿宋_GB2312" w:hAnsi="宋体" w:eastAsia="仿宋_GB2312" w:cs="仿宋_GB2312"/>
                <w:kern w:val="0"/>
                <w:highlight w:val="none"/>
              </w:rPr>
              <w:t>进一步加大对市场设计、开工、施工、验收全流程的检查督办力度，确保所有程序依法依规加速推进</w:t>
            </w:r>
            <w:r>
              <w:rPr>
                <w:rFonts w:hint="eastAsia" w:ascii="仿宋_GB2312" w:hAnsi="宋体" w:eastAsia="仿宋_GB2312" w:cs="仿宋_GB2312"/>
                <w:kern w:val="0"/>
                <w:highlight w:val="none"/>
                <w:lang w:eastAsia="zh-CN"/>
              </w:rPr>
              <w:t>。</w:t>
            </w:r>
          </w:p>
          <w:p>
            <w:pPr>
              <w:widowControl/>
              <w:jc w:val="left"/>
              <w:rPr>
                <w:rFonts w:ascii="仿宋_GB2312" w:hAnsi="宋体" w:eastAsia="仿宋_GB2312"/>
                <w:kern w:val="0"/>
                <w:highlight w:val="none"/>
              </w:rPr>
            </w:pP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预算执行情况口径：预算数为调整后财政资金总额（包括上年结余结转），执行数为资金使用单位财政资金实际支出数。涉及政府采购的项目支出要设置相关绩效指标反映政府采购管理情况。</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hint="eastAsia" w:ascii="仿宋_GB2312" w:hAnsi="宋体" w:eastAsia="仿宋_GB2312" w:cs="仿宋_GB2312"/>
          <w:kern w:val="0"/>
        </w:rPr>
      </w:pPr>
      <w:r>
        <w:rPr>
          <w:rFonts w:hint="eastAsia" w:ascii="仿宋_GB2312" w:hAnsi="宋体" w:eastAsia="仿宋_GB2312" w:cs="仿宋_GB2312"/>
          <w:kern w:val="0"/>
        </w:rPr>
        <w:t>5.涉及政府采购的项目支出应设置相关政府采购指标。</w:t>
      </w:r>
    </w:p>
    <w:p>
      <w:pPr>
        <w:rPr>
          <w:rFonts w:hint="eastAsia" w:ascii="仿宋_GB2312" w:hAnsi="宋体" w:eastAsia="仿宋_GB2312" w:cs="仿宋_GB2312"/>
          <w:kern w:val="0"/>
        </w:rPr>
      </w:pPr>
    </w:p>
    <w:sectPr>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大标宋简体">
    <w:altName w:val="Arial Unicode MS"/>
    <w:panose1 w:val="02010601030101010101"/>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MzdiZmYzZDExMDc1NzM5YWM0NWQyMzY3YjEwOTQifQ=="/>
  </w:docVars>
  <w:rsids>
    <w:rsidRoot w:val="005875AC"/>
    <w:rsid w:val="002D671C"/>
    <w:rsid w:val="003340AF"/>
    <w:rsid w:val="003F5028"/>
    <w:rsid w:val="005875AC"/>
    <w:rsid w:val="00613417"/>
    <w:rsid w:val="00B32C0C"/>
    <w:rsid w:val="00D13234"/>
    <w:rsid w:val="00D65302"/>
    <w:rsid w:val="00E9709F"/>
    <w:rsid w:val="00FF3F65"/>
    <w:rsid w:val="06BC0D27"/>
    <w:rsid w:val="119118AF"/>
    <w:rsid w:val="12387D34"/>
    <w:rsid w:val="13E862FB"/>
    <w:rsid w:val="347B14FC"/>
    <w:rsid w:val="37574B14"/>
    <w:rsid w:val="3DA41A92"/>
    <w:rsid w:val="411F4E39"/>
    <w:rsid w:val="67472B3E"/>
    <w:rsid w:val="69C36846"/>
    <w:rsid w:val="77682A52"/>
    <w:rsid w:val="78EF05E7"/>
    <w:rsid w:val="7ACE5AC8"/>
    <w:rsid w:val="7FE943B5"/>
    <w:rsid w:val="F76EA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1962</Words>
  <Characters>2076</Characters>
  <Lines>23</Lines>
  <Paragraphs>6</Paragraphs>
  <TotalTime>5</TotalTime>
  <ScaleCrop>false</ScaleCrop>
  <LinksUpToDate>false</LinksUpToDate>
  <CharactersWithSpaces>2116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111</dc:creator>
  <cp:lastModifiedBy>Administrator</cp:lastModifiedBy>
  <cp:lastPrinted>2022-05-27T08:59:00Z</cp:lastPrinted>
  <dcterms:modified xsi:type="dcterms:W3CDTF">2022-05-30T06:51:32Z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EFBD3572B91F4036819091361D9765E9</vt:lpwstr>
  </property>
</Properties>
</file>