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黑体" w:hAnsi="黑体" w:eastAsia="黑体" w:cs="黑体"/>
          <w:sz w:val="36"/>
          <w:szCs w:val="36"/>
        </w:rPr>
      </w:pPr>
      <w:r>
        <w:rPr>
          <w:rFonts w:hint="eastAsia" w:ascii="黑体" w:hAnsi="黑体" w:eastAsia="黑体" w:cs="黑体"/>
          <w:sz w:val="36"/>
          <w:szCs w:val="36"/>
          <w:lang w:val="en-US" w:eastAsia="zh-CN"/>
        </w:rPr>
        <w:t>2021</w:t>
      </w:r>
      <w:r>
        <w:rPr>
          <w:rFonts w:hint="eastAsia" w:ascii="黑体" w:hAnsi="黑体" w:eastAsia="黑体" w:cs="黑体"/>
          <w:sz w:val="36"/>
          <w:szCs w:val="36"/>
        </w:rPr>
        <w:t>年度棋盘洲保税物流中心运营经费项目自评表</w:t>
      </w:r>
    </w:p>
    <w:p>
      <w:pPr>
        <w:snapToGrid w:val="0"/>
        <w:spacing w:line="580" w:lineRule="exact"/>
        <w:rPr>
          <w:rFonts w:ascii="楷体_GB2312" w:hAnsi="楷体" w:eastAsia="楷体_GB2312" w:cs="楷体_GB2312"/>
          <w:b w:val="0"/>
          <w:bCs/>
          <w:sz w:val="28"/>
          <w:szCs w:val="28"/>
        </w:rPr>
      </w:pPr>
      <w:r>
        <w:rPr>
          <w:rFonts w:hint="eastAsia" w:ascii="楷体_GB2312" w:hAnsi="楷体" w:eastAsia="楷体_GB2312" w:cs="楷体_GB2312"/>
          <w:b w:val="0"/>
          <w:bCs/>
          <w:sz w:val="28"/>
          <w:szCs w:val="28"/>
        </w:rPr>
        <w:t xml:space="preserve">项目单位（盖章）： </w:t>
      </w:r>
      <w:r>
        <w:rPr>
          <w:rFonts w:ascii="楷体_GB2312" w:hAnsi="楷体" w:eastAsia="楷体_GB2312" w:cs="楷体_GB2312"/>
          <w:b w:val="0"/>
          <w:bCs/>
          <w:sz w:val="28"/>
          <w:szCs w:val="28"/>
        </w:rPr>
        <w:t xml:space="preserve">             </w:t>
      </w:r>
      <w:r>
        <w:rPr>
          <w:rFonts w:hint="eastAsia" w:ascii="楷体_GB2312" w:hAnsi="楷体" w:eastAsia="楷体_GB2312" w:cs="楷体_GB2312"/>
          <w:b w:val="0"/>
          <w:bCs/>
          <w:sz w:val="28"/>
          <w:szCs w:val="28"/>
        </w:rPr>
        <w:t>主要领导签字：</w:t>
      </w:r>
    </w:p>
    <w:p>
      <w:pPr>
        <w:widowControl/>
        <w:snapToGrid w:val="0"/>
        <w:spacing w:line="580" w:lineRule="exact"/>
        <w:jc w:val="left"/>
        <w:rPr>
          <w:rFonts w:hint="eastAsia" w:ascii="黑体" w:hAnsi="黑体" w:eastAsia="黑体" w:cs="黑体"/>
          <w:sz w:val="36"/>
          <w:szCs w:val="36"/>
        </w:rPr>
      </w:pPr>
      <w:r>
        <w:rPr>
          <w:rFonts w:hint="eastAsia" w:ascii="楷体_GB2312" w:hAnsi="楷体" w:eastAsia="楷体_GB2312" w:cs="楷体_GB2312"/>
          <w:b w:val="0"/>
          <w:bCs/>
          <w:sz w:val="28"/>
          <w:szCs w:val="28"/>
        </w:rPr>
        <w:t>填报日期：</w:t>
      </w:r>
      <w:r>
        <w:rPr>
          <w:rFonts w:hint="eastAsia" w:ascii="楷体_GB2312" w:hAnsi="楷体" w:eastAsia="楷体_GB2312" w:cs="楷体_GB2312"/>
          <w:b w:val="0"/>
          <w:bCs/>
          <w:sz w:val="28"/>
          <w:szCs w:val="28"/>
          <w:lang w:val="en-US" w:eastAsia="zh-CN"/>
        </w:rPr>
        <w:t>2023年6月30日</w:t>
      </w:r>
    </w:p>
    <w:tbl>
      <w:tblPr>
        <w:tblStyle w:val="4"/>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00"/>
        <w:gridCol w:w="1122"/>
        <w:gridCol w:w="1319"/>
        <w:gridCol w:w="923"/>
        <w:gridCol w:w="394"/>
        <w:gridCol w:w="1466"/>
        <w:gridCol w:w="334"/>
        <w:gridCol w:w="985"/>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项目名称</w:t>
            </w:r>
          </w:p>
        </w:tc>
        <w:tc>
          <w:tcPr>
            <w:tcW w:w="7420" w:type="dxa"/>
            <w:gridSpan w:val="8"/>
            <w:vAlign w:val="center"/>
          </w:tcPr>
          <w:p>
            <w:pPr>
              <w:widowControl/>
              <w:snapToGrid w:val="0"/>
              <w:jc w:val="center"/>
              <w:rPr>
                <w:rFonts w:ascii="仿宋_GB2312" w:hAnsi="宋体" w:eastAsia="仿宋_GB2312"/>
                <w:kern w:val="0"/>
              </w:rPr>
            </w:pPr>
            <w:r>
              <w:rPr>
                <w:rFonts w:hint="eastAsia" w:ascii="仿宋" w:hAnsi="仿宋" w:eastAsia="仿宋" w:cs="仿宋_GB2312"/>
                <w:kern w:val="0"/>
                <w:sz w:val="24"/>
              </w:rPr>
              <w:t>棋盘洲保税物流中心运营经费</w:t>
            </w:r>
            <w:r>
              <w:rPr>
                <w:rFonts w:hint="eastAsia" w:ascii="仿宋_GB2312" w:hAnsi="宋体" w:eastAsia="仿宋_GB2312"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主管部门</w:t>
            </w:r>
          </w:p>
        </w:tc>
        <w:tc>
          <w:tcPr>
            <w:tcW w:w="3364" w:type="dxa"/>
            <w:gridSpan w:val="3"/>
            <w:vAlign w:val="center"/>
          </w:tcPr>
          <w:p>
            <w:pPr>
              <w:widowControl/>
              <w:snapToGrid w:val="0"/>
              <w:jc w:val="left"/>
              <w:rPr>
                <w:rFonts w:ascii="仿宋_GB2312" w:hAnsi="宋体" w:eastAsia="仿宋_GB2312"/>
                <w:kern w:val="0"/>
              </w:rPr>
            </w:pPr>
            <w:r>
              <w:rPr>
                <w:rFonts w:hint="eastAsia" w:ascii="仿宋" w:hAnsi="仿宋" w:eastAsia="仿宋" w:cs="楷体_GB2312"/>
                <w:kern w:val="0"/>
                <w:sz w:val="24"/>
              </w:rPr>
              <w:t>黄石市商务局</w:t>
            </w:r>
          </w:p>
        </w:tc>
        <w:tc>
          <w:tcPr>
            <w:tcW w:w="2194" w:type="dxa"/>
            <w:gridSpan w:val="3"/>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项目实施单位</w:t>
            </w:r>
          </w:p>
        </w:tc>
        <w:tc>
          <w:tcPr>
            <w:tcW w:w="1862" w:type="dxa"/>
            <w:gridSpan w:val="2"/>
            <w:vAlign w:val="center"/>
          </w:tcPr>
          <w:p>
            <w:pPr>
              <w:widowControl/>
              <w:snapToGrid w:val="0"/>
              <w:jc w:val="center"/>
              <w:rPr>
                <w:rFonts w:ascii="仿宋_GB2312" w:hAnsi="宋体" w:eastAsia="仿宋_GB2312"/>
                <w:kern w:val="0"/>
              </w:rPr>
            </w:pPr>
            <w:r>
              <w:rPr>
                <w:rFonts w:hint="eastAsia" w:ascii="仿宋" w:hAnsi="仿宋" w:eastAsia="仿宋" w:cs="楷体_GB2312"/>
                <w:kern w:val="0"/>
                <w:sz w:val="24"/>
              </w:rPr>
              <w:t>黄石市商务局</w:t>
            </w:r>
            <w:r>
              <w:rPr>
                <w:rFonts w:hint="eastAsia" w:ascii="仿宋_GB2312" w:hAnsi="宋体" w:eastAsia="仿宋_GB2312"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项目类别</w:t>
            </w:r>
          </w:p>
        </w:tc>
        <w:tc>
          <w:tcPr>
            <w:tcW w:w="7420" w:type="dxa"/>
            <w:gridSpan w:val="8"/>
            <w:vAlign w:val="center"/>
          </w:tcPr>
          <w:p>
            <w:pPr>
              <w:widowControl/>
              <w:snapToGrid w:val="0"/>
              <w:jc w:val="left"/>
              <w:rPr>
                <w:rFonts w:ascii="仿宋_GB2312" w:hAnsi="宋体" w:eastAsia="仿宋_GB2312"/>
                <w:kern w:val="0"/>
              </w:rPr>
            </w:pPr>
            <w:r>
              <w:rPr>
                <w:rFonts w:ascii="仿宋_GB2312" w:hAnsi="宋体" w:eastAsia="仿宋_GB2312" w:cs="仿宋_GB2312"/>
                <w:kern w:val="0"/>
              </w:rPr>
              <w:t>1</w:t>
            </w:r>
            <w:r>
              <w:rPr>
                <w:rFonts w:hint="eastAsia" w:ascii="仿宋_GB2312" w:hAnsi="宋体" w:eastAsia="仿宋_GB2312" w:cs="仿宋_GB2312"/>
                <w:kern w:val="0"/>
              </w:rPr>
              <w:t>、部门预算项目</w:t>
            </w:r>
            <w:r>
              <w:rPr>
                <w:rFonts w:ascii="仿宋_GB2312" w:hAnsi="宋体" w:eastAsia="仿宋_GB2312" w:cs="仿宋_GB2312"/>
                <w:kern w:val="0"/>
              </w:rPr>
              <w:t xml:space="preserve">  </w:t>
            </w:r>
            <w:r>
              <w:rPr>
                <w:rFonts w:hint="eastAsia" w:ascii="仿宋" w:hAnsi="MS Mincho" w:eastAsia="MS Mincho" w:cs="MS Mincho"/>
                <w:kern w:val="0"/>
                <w:sz w:val="24"/>
              </w:rPr>
              <w:t>☑</w:t>
            </w:r>
            <w:r>
              <w:rPr>
                <w:rFonts w:ascii="仿宋" w:hAnsi="仿宋" w:eastAsia="仿宋" w:cs="仿宋_GB2312"/>
                <w:kern w:val="0"/>
                <w:sz w:val="24"/>
              </w:rPr>
              <w:t xml:space="preserve">  </w:t>
            </w:r>
            <w:r>
              <w:rPr>
                <w:rFonts w:ascii="仿宋_GB2312" w:hAnsi="宋体" w:eastAsia="仿宋_GB2312" w:cs="仿宋_GB2312"/>
                <w:kern w:val="0"/>
              </w:rPr>
              <w:t xml:space="preserve">   2</w:t>
            </w:r>
            <w:r>
              <w:rPr>
                <w:rFonts w:hint="eastAsia" w:ascii="仿宋_GB2312" w:hAnsi="宋体" w:eastAsia="仿宋_GB2312" w:cs="仿宋_GB2312"/>
                <w:kern w:val="0"/>
              </w:rPr>
              <w:t>、市直专项</w:t>
            </w:r>
            <w:r>
              <w:rPr>
                <w:rFonts w:ascii="仿宋_GB2312" w:hAnsi="宋体" w:eastAsia="仿宋_GB2312"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项目属性</w:t>
            </w:r>
          </w:p>
        </w:tc>
        <w:tc>
          <w:tcPr>
            <w:tcW w:w="7420" w:type="dxa"/>
            <w:gridSpan w:val="8"/>
            <w:vAlign w:val="center"/>
          </w:tcPr>
          <w:p>
            <w:pPr>
              <w:widowControl/>
              <w:snapToGrid w:val="0"/>
              <w:jc w:val="left"/>
              <w:rPr>
                <w:rFonts w:ascii="仿宋_GB2312" w:hAnsi="宋体" w:eastAsia="仿宋_GB2312" w:cs="仿宋_GB2312"/>
                <w:kern w:val="0"/>
              </w:rPr>
            </w:pPr>
            <w:r>
              <w:rPr>
                <w:rFonts w:ascii="仿宋_GB2312" w:hAnsi="宋体" w:eastAsia="仿宋_GB2312" w:cs="仿宋_GB2312"/>
                <w:kern w:val="0"/>
              </w:rPr>
              <w:t>1</w:t>
            </w:r>
            <w:r>
              <w:rPr>
                <w:rFonts w:hint="eastAsia" w:ascii="仿宋_GB2312" w:hAnsi="宋体" w:eastAsia="仿宋_GB2312" w:cs="仿宋_GB2312"/>
                <w:kern w:val="0"/>
              </w:rPr>
              <w:t>、持续性项目</w:t>
            </w:r>
            <w:r>
              <w:rPr>
                <w:rFonts w:ascii="仿宋_GB2312" w:hAnsi="宋体" w:eastAsia="仿宋_GB2312" w:cs="仿宋_GB2312"/>
                <w:kern w:val="0"/>
              </w:rPr>
              <w:t xml:space="preserve">    </w:t>
            </w:r>
            <w:r>
              <w:rPr>
                <w:rFonts w:hint="eastAsia" w:ascii="仿宋" w:hAnsi="MS Mincho" w:eastAsia="MS Mincho" w:cs="MS Mincho"/>
                <w:kern w:val="0"/>
                <w:sz w:val="24"/>
              </w:rPr>
              <w:t>☑</w:t>
            </w:r>
            <w:r>
              <w:rPr>
                <w:rFonts w:ascii="仿宋" w:hAnsi="仿宋" w:eastAsia="仿宋" w:cs="仿宋_GB2312"/>
                <w:kern w:val="0"/>
                <w:sz w:val="24"/>
              </w:rPr>
              <w:t xml:space="preserve">  </w:t>
            </w:r>
            <w:r>
              <w:rPr>
                <w:rFonts w:ascii="仿宋_GB2312" w:hAnsi="宋体" w:eastAsia="仿宋_GB2312" w:cs="仿宋_GB2312"/>
                <w:kern w:val="0"/>
              </w:rPr>
              <w:t xml:space="preserve">  2</w:t>
            </w:r>
            <w:r>
              <w:rPr>
                <w:rFonts w:hint="eastAsia" w:ascii="仿宋_GB2312" w:hAnsi="宋体" w:eastAsia="仿宋_GB2312" w:cs="仿宋_GB2312"/>
                <w:kern w:val="0"/>
              </w:rPr>
              <w:t>、新增性项目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项目类型</w:t>
            </w:r>
          </w:p>
        </w:tc>
        <w:tc>
          <w:tcPr>
            <w:tcW w:w="7420" w:type="dxa"/>
            <w:gridSpan w:val="8"/>
            <w:vAlign w:val="center"/>
          </w:tcPr>
          <w:p>
            <w:pPr>
              <w:widowControl/>
              <w:snapToGrid w:val="0"/>
              <w:jc w:val="left"/>
              <w:rPr>
                <w:rFonts w:ascii="仿宋_GB2312" w:hAnsi="宋体" w:eastAsia="仿宋_GB2312"/>
                <w:kern w:val="0"/>
              </w:rPr>
            </w:pPr>
            <w:r>
              <w:rPr>
                <w:rFonts w:ascii="仿宋_GB2312" w:hAnsi="宋体" w:eastAsia="仿宋_GB2312" w:cs="仿宋_GB2312"/>
                <w:kern w:val="0"/>
              </w:rPr>
              <w:t>1</w:t>
            </w:r>
            <w:r>
              <w:rPr>
                <w:rFonts w:hint="eastAsia" w:ascii="仿宋_GB2312" w:hAnsi="宋体" w:eastAsia="仿宋_GB2312" w:cs="仿宋_GB2312"/>
                <w:kern w:val="0"/>
              </w:rPr>
              <w:t>、常年性项目</w:t>
            </w:r>
            <w:r>
              <w:rPr>
                <w:rFonts w:ascii="仿宋_GB2312" w:hAnsi="宋体" w:eastAsia="仿宋_GB2312" w:cs="仿宋_GB2312"/>
                <w:kern w:val="0"/>
              </w:rPr>
              <w:t xml:space="preserve">    </w:t>
            </w:r>
            <w:r>
              <w:rPr>
                <w:rFonts w:hint="eastAsia" w:ascii="仿宋" w:hAnsi="MS Mincho" w:eastAsia="MS Mincho" w:cs="MS Mincho"/>
                <w:kern w:val="0"/>
                <w:sz w:val="24"/>
              </w:rPr>
              <w:t>☑</w:t>
            </w:r>
            <w:r>
              <w:rPr>
                <w:rFonts w:ascii="仿宋" w:hAnsi="仿宋" w:eastAsia="仿宋" w:cs="仿宋_GB2312"/>
                <w:kern w:val="0"/>
                <w:sz w:val="24"/>
              </w:rPr>
              <w:t xml:space="preserve">  </w:t>
            </w:r>
            <w:r>
              <w:rPr>
                <w:rFonts w:ascii="仿宋_GB2312" w:hAnsi="宋体" w:eastAsia="仿宋_GB2312" w:cs="仿宋_GB2312"/>
                <w:kern w:val="0"/>
              </w:rPr>
              <w:t xml:space="preserve">   2</w:t>
            </w:r>
            <w:r>
              <w:rPr>
                <w:rFonts w:hint="eastAsia" w:ascii="仿宋_GB2312" w:hAnsi="宋体" w:eastAsia="仿宋_GB2312" w:cs="仿宋_GB2312"/>
                <w:kern w:val="0"/>
              </w:rPr>
              <w:t>、延续性项目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、一次性项目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restart"/>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预算执行情况（万元）</w:t>
            </w:r>
          </w:p>
          <w:p>
            <w:pPr>
              <w:widowControl/>
              <w:snapToGrid w:val="0"/>
              <w:jc w:val="center"/>
              <w:rPr>
                <w:rFonts w:ascii="仿宋_GB2312" w:hAnsi="宋体" w:eastAsia="仿宋_GB2312"/>
                <w:kern w:val="0"/>
              </w:rPr>
            </w:pPr>
            <w:r>
              <w:rPr>
                <w:rFonts w:hint="eastAsia" w:ascii="仿宋_GB2312" w:hAnsi="宋体" w:eastAsia="仿宋_GB2312" w:cs="仿宋_GB2312"/>
                <w:kern w:val="0"/>
              </w:rPr>
              <w:t>（</w:t>
            </w:r>
            <w:r>
              <w:rPr>
                <w:rFonts w:ascii="仿宋_GB2312" w:hAnsi="宋体" w:eastAsia="仿宋_GB2312" w:cs="仿宋_GB2312"/>
                <w:kern w:val="0"/>
              </w:rPr>
              <w:t>20</w:t>
            </w:r>
            <w:r>
              <w:rPr>
                <w:rFonts w:hint="eastAsia" w:ascii="仿宋_GB2312" w:hAnsi="宋体" w:eastAsia="仿宋_GB2312" w:cs="仿宋_GB2312"/>
                <w:kern w:val="0"/>
              </w:rPr>
              <w:t>分）</w:t>
            </w:r>
          </w:p>
        </w:tc>
        <w:tc>
          <w:tcPr>
            <w:tcW w:w="1122" w:type="dxa"/>
            <w:vAlign w:val="center"/>
          </w:tcPr>
          <w:p>
            <w:pPr>
              <w:widowControl/>
              <w:snapToGrid w:val="0"/>
              <w:jc w:val="center"/>
              <w:rPr>
                <w:rFonts w:ascii="仿宋_GB2312" w:hAnsi="宋体" w:eastAsia="仿宋_GB2312"/>
                <w:kern w:val="0"/>
              </w:rPr>
            </w:pPr>
          </w:p>
        </w:tc>
        <w:tc>
          <w:tcPr>
            <w:tcW w:w="1319"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预算数（</w:t>
            </w:r>
            <w:r>
              <w:rPr>
                <w:rFonts w:ascii="仿宋_GB2312" w:hAnsi="宋体" w:eastAsia="仿宋_GB2312" w:cs="仿宋_GB2312"/>
                <w:kern w:val="0"/>
              </w:rPr>
              <w:t>A）</w:t>
            </w:r>
          </w:p>
        </w:tc>
        <w:tc>
          <w:tcPr>
            <w:tcW w:w="1317" w:type="dxa"/>
            <w:gridSpan w:val="2"/>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执行数</w:t>
            </w:r>
            <w:r>
              <w:rPr>
                <w:rFonts w:ascii="仿宋_GB2312" w:hAnsi="宋体" w:eastAsia="仿宋_GB2312" w:cs="仿宋_GB2312"/>
                <w:kern w:val="0"/>
              </w:rPr>
              <w:t>（B）</w:t>
            </w:r>
          </w:p>
        </w:tc>
        <w:tc>
          <w:tcPr>
            <w:tcW w:w="1466"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执行率</w:t>
            </w:r>
            <w:r>
              <w:rPr>
                <w:rFonts w:ascii="仿宋_GB2312" w:hAnsi="宋体" w:eastAsia="仿宋_GB2312" w:cs="仿宋_GB2312"/>
                <w:kern w:val="0"/>
              </w:rPr>
              <w:t>（B/A）</w:t>
            </w:r>
          </w:p>
        </w:tc>
        <w:tc>
          <w:tcPr>
            <w:tcW w:w="2196" w:type="dxa"/>
            <w:gridSpan w:val="3"/>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得分</w:t>
            </w:r>
          </w:p>
          <w:p>
            <w:pPr>
              <w:widowControl/>
              <w:snapToGrid w:val="0"/>
              <w:jc w:val="center"/>
              <w:rPr>
                <w:rFonts w:ascii="仿宋_GB2312" w:hAnsi="宋体" w:eastAsia="仿宋_GB2312"/>
                <w:kern w:val="0"/>
              </w:rPr>
            </w:pPr>
            <w:r>
              <w:rPr>
                <w:rFonts w:hint="eastAsia" w:ascii="仿宋_GB2312" w:hAnsi="宋体" w:eastAsia="仿宋_GB2312" w:cs="仿宋_GB2312"/>
                <w:kern w:val="0"/>
              </w:rPr>
              <w:t>（</w:t>
            </w:r>
            <w:r>
              <w:rPr>
                <w:rFonts w:ascii="仿宋_GB2312" w:hAnsi="宋体" w:eastAsia="仿宋_GB2312" w:cs="仿宋_GB2312"/>
                <w:kern w:val="0"/>
              </w:rPr>
              <w:t>20</w:t>
            </w:r>
            <w:r>
              <w:rPr>
                <w:rFonts w:hint="eastAsia" w:ascii="仿宋_GB2312" w:hAnsi="宋体" w:eastAsia="仿宋_GB2312" w:cs="仿宋_GB2312"/>
                <w:kern w:val="0"/>
              </w:rPr>
              <w:t>分</w:t>
            </w:r>
            <w:r>
              <w:rPr>
                <w:rFonts w:ascii="仿宋_GB2312" w:hAnsi="宋体" w:eastAsia="仿宋_GB2312" w:cs="仿宋_GB2312"/>
                <w:kern w:val="0"/>
              </w:rPr>
              <w:t>*</w:t>
            </w:r>
            <w:r>
              <w:rPr>
                <w:rFonts w:hint="eastAsia" w:ascii="仿宋_GB2312" w:hAnsi="宋体" w:eastAsia="仿宋_GB2312" w:cs="仿宋_GB2312"/>
                <w:kern w:val="0"/>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continue"/>
            <w:vAlign w:val="center"/>
          </w:tcPr>
          <w:p>
            <w:pPr>
              <w:widowControl/>
              <w:snapToGrid w:val="0"/>
              <w:jc w:val="center"/>
              <w:rPr>
                <w:rFonts w:ascii="仿宋_GB2312" w:hAnsi="宋体" w:eastAsia="仿宋_GB2312"/>
                <w:kern w:val="0"/>
              </w:rPr>
            </w:pPr>
          </w:p>
        </w:tc>
        <w:tc>
          <w:tcPr>
            <w:tcW w:w="1122" w:type="dxa"/>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年度财政资金总额</w:t>
            </w:r>
          </w:p>
        </w:tc>
        <w:tc>
          <w:tcPr>
            <w:tcW w:w="1319"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250</w:t>
            </w:r>
          </w:p>
        </w:tc>
        <w:tc>
          <w:tcPr>
            <w:tcW w:w="1317"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250</w:t>
            </w:r>
          </w:p>
        </w:tc>
        <w:tc>
          <w:tcPr>
            <w:tcW w:w="1466"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100%</w:t>
            </w:r>
          </w:p>
        </w:tc>
        <w:tc>
          <w:tcPr>
            <w:tcW w:w="2196" w:type="dxa"/>
            <w:gridSpan w:val="3"/>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restart"/>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年度绩效目标</w:t>
            </w:r>
          </w:p>
          <w:p>
            <w:pPr>
              <w:widowControl/>
              <w:snapToGrid w:val="0"/>
              <w:jc w:val="center"/>
              <w:rPr>
                <w:rFonts w:ascii="仿宋_GB2312" w:hAnsi="宋体" w:eastAsia="仿宋_GB2312"/>
                <w:kern w:val="0"/>
              </w:rPr>
            </w:pPr>
            <w:r>
              <w:rPr>
                <w:rFonts w:hint="eastAsia" w:ascii="仿宋_GB2312" w:hAnsi="宋体" w:eastAsia="仿宋_GB2312" w:cs="仿宋_GB2312"/>
                <w:kern w:val="0"/>
              </w:rPr>
              <w:t>（</w:t>
            </w:r>
            <w:r>
              <w:rPr>
                <w:rFonts w:hint="eastAsia" w:ascii="仿宋_GB2312" w:hAnsi="宋体" w:eastAsia="仿宋_GB2312" w:cs="仿宋_GB2312"/>
                <w:kern w:val="0"/>
                <w:sz w:val="20"/>
                <w:szCs w:val="20"/>
                <w:lang w:val="en-US" w:eastAsia="zh-CN"/>
              </w:rPr>
              <w:t>80</w:t>
            </w:r>
            <w:r>
              <w:rPr>
                <w:rFonts w:hint="eastAsia" w:ascii="仿宋_GB2312" w:hAnsi="宋体" w:eastAsia="仿宋_GB2312" w:cs="仿宋_GB2312"/>
                <w:kern w:val="0"/>
              </w:rPr>
              <w:t>分）</w:t>
            </w:r>
          </w:p>
        </w:tc>
        <w:tc>
          <w:tcPr>
            <w:tcW w:w="700" w:type="dxa"/>
            <w:vAlign w:val="center"/>
          </w:tcPr>
          <w:p>
            <w:pPr>
              <w:snapToGrid w:val="0"/>
              <w:jc w:val="center"/>
              <w:rPr>
                <w:rFonts w:ascii="仿宋_GB2312" w:hAnsi="宋体" w:eastAsia="仿宋_GB2312"/>
                <w:kern w:val="0"/>
              </w:rPr>
            </w:pPr>
            <w:r>
              <w:rPr>
                <w:rFonts w:hint="eastAsia" w:ascii="仿宋_GB2312" w:hAnsi="宋体" w:eastAsia="仿宋_GB2312" w:cs="仿宋_GB2312"/>
                <w:kern w:val="0"/>
              </w:rPr>
              <w:t>一级指标</w:t>
            </w:r>
          </w:p>
        </w:tc>
        <w:tc>
          <w:tcPr>
            <w:tcW w:w="1122" w:type="dxa"/>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二级指标</w:t>
            </w:r>
          </w:p>
        </w:tc>
        <w:tc>
          <w:tcPr>
            <w:tcW w:w="2636" w:type="dxa"/>
            <w:gridSpan w:val="3"/>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三级指标</w:t>
            </w:r>
          </w:p>
        </w:tc>
        <w:tc>
          <w:tcPr>
            <w:tcW w:w="1466" w:type="dxa"/>
            <w:vAlign w:val="center"/>
          </w:tcPr>
          <w:p>
            <w:pPr>
              <w:widowControl/>
              <w:snapToGrid w:val="0"/>
              <w:jc w:val="center"/>
              <w:rPr>
                <w:rFonts w:ascii="仿宋_GB2312" w:hAnsi="宋体" w:eastAsia="仿宋_GB2312" w:cs="仿宋_GB2312"/>
                <w:kern w:val="0"/>
                <w:highlight w:val="none"/>
              </w:rPr>
            </w:pPr>
            <w:r>
              <w:rPr>
                <w:rFonts w:hint="eastAsia" w:ascii="仿宋_GB2312" w:hAnsi="宋体" w:eastAsia="仿宋_GB2312" w:cs="仿宋_GB2312"/>
                <w:kern w:val="0"/>
                <w:highlight w:val="none"/>
              </w:rPr>
              <w:t>年初目标值（</w:t>
            </w:r>
            <w:r>
              <w:rPr>
                <w:rFonts w:ascii="仿宋_GB2312" w:hAnsi="宋体" w:eastAsia="仿宋_GB2312" w:cs="仿宋_GB2312"/>
                <w:kern w:val="0"/>
                <w:highlight w:val="none"/>
              </w:rPr>
              <w:t>A</w:t>
            </w:r>
            <w:r>
              <w:rPr>
                <w:rFonts w:hint="eastAsia" w:ascii="仿宋_GB2312" w:hAnsi="宋体" w:eastAsia="仿宋_GB2312" w:cs="仿宋_GB2312"/>
                <w:kern w:val="0"/>
                <w:highlight w:val="none"/>
              </w:rPr>
              <w:t>）</w:t>
            </w:r>
          </w:p>
        </w:tc>
        <w:tc>
          <w:tcPr>
            <w:tcW w:w="1319" w:type="dxa"/>
            <w:gridSpan w:val="2"/>
            <w:vAlign w:val="center"/>
          </w:tcPr>
          <w:p>
            <w:pPr>
              <w:widowControl/>
              <w:snapToGrid w:val="0"/>
              <w:jc w:val="center"/>
              <w:rPr>
                <w:rFonts w:ascii="仿宋_GB2312" w:hAnsi="宋体" w:eastAsia="仿宋_GB2312" w:cs="仿宋_GB2312"/>
                <w:kern w:val="0"/>
                <w:highlight w:val="none"/>
              </w:rPr>
            </w:pPr>
            <w:r>
              <w:rPr>
                <w:rFonts w:hint="eastAsia" w:ascii="仿宋_GB2312" w:hAnsi="宋体" w:eastAsia="仿宋_GB2312" w:cs="仿宋_GB2312"/>
                <w:kern w:val="0"/>
                <w:highlight w:val="none"/>
              </w:rPr>
              <w:t>实际完成值（</w:t>
            </w:r>
            <w:r>
              <w:rPr>
                <w:rFonts w:ascii="仿宋_GB2312" w:hAnsi="宋体" w:eastAsia="仿宋_GB2312" w:cs="仿宋_GB2312"/>
                <w:kern w:val="0"/>
                <w:highlight w:val="none"/>
              </w:rPr>
              <w:t>B</w:t>
            </w:r>
            <w:r>
              <w:rPr>
                <w:rFonts w:hint="eastAsia" w:ascii="仿宋_GB2312" w:hAnsi="宋体" w:eastAsia="仿宋_GB2312" w:cs="仿宋_GB2312"/>
                <w:kern w:val="0"/>
                <w:highlight w:val="none"/>
              </w:rPr>
              <w:t>）</w:t>
            </w:r>
          </w:p>
        </w:tc>
        <w:tc>
          <w:tcPr>
            <w:tcW w:w="877" w:type="dxa"/>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restart"/>
            <w:vAlign w:val="center"/>
          </w:tcPr>
          <w:p>
            <w:pPr>
              <w:snapToGrid w:val="0"/>
              <w:jc w:val="center"/>
              <w:rPr>
                <w:rFonts w:ascii="仿宋_GB2312" w:hAnsi="宋体" w:eastAsia="仿宋_GB2312"/>
                <w:kern w:val="0"/>
              </w:rPr>
            </w:pPr>
            <w:r>
              <w:rPr>
                <w:rFonts w:hint="eastAsia" w:ascii="仿宋_GB2312" w:hAnsi="宋体" w:eastAsia="仿宋_GB2312" w:cs="仿宋_GB2312"/>
                <w:kern w:val="0"/>
              </w:rPr>
              <w:t>产出指标</w:t>
            </w:r>
          </w:p>
        </w:tc>
        <w:tc>
          <w:tcPr>
            <w:tcW w:w="1122" w:type="dxa"/>
            <w:vMerge w:val="restart"/>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cs="仿宋_GB2312"/>
                <w:kern w:val="0"/>
                <w:lang w:eastAsia="zh-CN"/>
              </w:rPr>
              <w:t>数量指标</w:t>
            </w:r>
          </w:p>
        </w:tc>
        <w:tc>
          <w:tcPr>
            <w:tcW w:w="2636" w:type="dxa"/>
            <w:gridSpan w:val="3"/>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kern w:val="0"/>
              </w:rPr>
              <w:t>保税物流中心进出口货物</w:t>
            </w:r>
            <w:r>
              <w:rPr>
                <w:rFonts w:hint="eastAsia" w:ascii="仿宋_GB2312" w:hAnsi="宋体" w:eastAsia="仿宋_GB2312"/>
                <w:kern w:val="0"/>
                <w:lang w:eastAsia="zh-CN"/>
              </w:rPr>
              <w:t>总值</w:t>
            </w:r>
          </w:p>
        </w:tc>
        <w:tc>
          <w:tcPr>
            <w:tcW w:w="1466"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3.5亿</w:t>
            </w:r>
          </w:p>
        </w:tc>
        <w:tc>
          <w:tcPr>
            <w:tcW w:w="1319"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由于保税中心升级为综保区，建设期间业务暂停。</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continue"/>
            <w:vAlign w:val="center"/>
          </w:tcPr>
          <w:p>
            <w:pPr>
              <w:widowControl/>
              <w:snapToGrid w:val="0"/>
              <w:jc w:val="center"/>
              <w:rPr>
                <w:rFonts w:ascii="仿宋_GB2312" w:hAnsi="宋体" w:eastAsia="仿宋_GB2312"/>
                <w:kern w:val="0"/>
              </w:rPr>
            </w:pPr>
          </w:p>
        </w:tc>
        <w:tc>
          <w:tcPr>
            <w:tcW w:w="1122" w:type="dxa"/>
            <w:vMerge w:val="continue"/>
            <w:vAlign w:val="center"/>
          </w:tcPr>
          <w:p>
            <w:pPr>
              <w:widowControl/>
              <w:snapToGrid w:val="0"/>
              <w:jc w:val="center"/>
              <w:rPr>
                <w:rFonts w:ascii="仿宋_GB2312" w:hAnsi="宋体" w:eastAsia="仿宋_GB2312"/>
                <w:kern w:val="0"/>
              </w:rPr>
            </w:pPr>
          </w:p>
        </w:tc>
        <w:tc>
          <w:tcPr>
            <w:tcW w:w="2636" w:type="dxa"/>
            <w:gridSpan w:val="3"/>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kern w:val="0"/>
              </w:rPr>
              <w:t>举办推介活动</w:t>
            </w:r>
            <w:r>
              <w:rPr>
                <w:rFonts w:hint="eastAsia" w:ascii="仿宋_GB2312" w:hAnsi="宋体" w:eastAsia="仿宋_GB2312"/>
                <w:kern w:val="0"/>
                <w:lang w:eastAsia="zh-CN"/>
              </w:rPr>
              <w:t>次数</w:t>
            </w:r>
          </w:p>
        </w:tc>
        <w:tc>
          <w:tcPr>
            <w:tcW w:w="1466" w:type="dxa"/>
            <w:vAlign w:val="center"/>
          </w:tcPr>
          <w:p>
            <w:pPr>
              <w:widowControl/>
              <w:snapToGrid w:val="0"/>
              <w:jc w:val="center"/>
              <w:rPr>
                <w:rFonts w:hint="eastAsia" w:ascii="仿宋_GB2312" w:hAnsi="宋体" w:eastAsia="仿宋_GB2312"/>
                <w:kern w:val="0"/>
                <w:lang w:val="en-US" w:eastAsia="zh-CN"/>
              </w:rPr>
            </w:pPr>
            <w:r>
              <w:rPr>
                <w:rFonts w:hint="eastAsia" w:ascii="仿宋_GB2312" w:hAnsi="宋体" w:eastAsia="仿宋_GB2312"/>
                <w:kern w:val="0"/>
                <w:lang w:val="en-US" w:eastAsia="zh-CN"/>
              </w:rPr>
              <w:t>1次</w:t>
            </w:r>
          </w:p>
        </w:tc>
        <w:tc>
          <w:tcPr>
            <w:tcW w:w="1319"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1次</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continue"/>
            <w:vAlign w:val="center"/>
          </w:tcPr>
          <w:p>
            <w:pPr>
              <w:widowControl/>
              <w:snapToGrid w:val="0"/>
              <w:jc w:val="center"/>
              <w:rPr>
                <w:rFonts w:ascii="仿宋_GB2312" w:hAnsi="宋体" w:eastAsia="仿宋_GB2312"/>
                <w:kern w:val="0"/>
              </w:rPr>
            </w:pPr>
          </w:p>
        </w:tc>
        <w:tc>
          <w:tcPr>
            <w:tcW w:w="1122" w:type="dxa"/>
            <w:vMerge w:val="continue"/>
            <w:vAlign w:val="center"/>
          </w:tcPr>
          <w:p>
            <w:pPr>
              <w:widowControl/>
              <w:snapToGrid w:val="0"/>
              <w:jc w:val="center"/>
              <w:rPr>
                <w:rFonts w:ascii="仿宋_GB2312" w:hAnsi="宋体" w:eastAsia="仿宋_GB2312"/>
                <w:kern w:val="0"/>
              </w:rPr>
            </w:pPr>
          </w:p>
        </w:tc>
        <w:tc>
          <w:tcPr>
            <w:tcW w:w="2636" w:type="dxa"/>
            <w:gridSpan w:val="3"/>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kern w:val="0"/>
              </w:rPr>
              <w:t>业务培训</w:t>
            </w:r>
            <w:r>
              <w:rPr>
                <w:rFonts w:hint="eastAsia" w:ascii="仿宋_GB2312" w:hAnsi="宋体" w:eastAsia="仿宋_GB2312"/>
                <w:kern w:val="0"/>
                <w:lang w:eastAsia="zh-CN"/>
              </w:rPr>
              <w:t>活动次数</w:t>
            </w:r>
          </w:p>
        </w:tc>
        <w:tc>
          <w:tcPr>
            <w:tcW w:w="1466" w:type="dxa"/>
            <w:vAlign w:val="center"/>
          </w:tcPr>
          <w:p>
            <w:pPr>
              <w:widowControl/>
              <w:snapToGrid w:val="0"/>
              <w:jc w:val="center"/>
              <w:rPr>
                <w:rFonts w:hint="eastAsia" w:ascii="仿宋_GB2312" w:hAnsi="宋体" w:eastAsia="仿宋_GB2312"/>
                <w:kern w:val="0"/>
                <w:lang w:val="en-US" w:eastAsia="zh-CN"/>
              </w:rPr>
            </w:pPr>
            <w:r>
              <w:rPr>
                <w:rFonts w:hint="eastAsia" w:ascii="仿宋_GB2312" w:hAnsi="宋体" w:eastAsia="仿宋_GB2312"/>
                <w:kern w:val="0"/>
                <w:lang w:val="en-US" w:eastAsia="zh-CN"/>
              </w:rPr>
              <w:t>2次</w:t>
            </w:r>
          </w:p>
        </w:tc>
        <w:tc>
          <w:tcPr>
            <w:tcW w:w="1319"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2次</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continue"/>
            <w:vAlign w:val="center"/>
          </w:tcPr>
          <w:p>
            <w:pPr>
              <w:widowControl/>
              <w:snapToGrid w:val="0"/>
              <w:jc w:val="center"/>
              <w:rPr>
                <w:rFonts w:ascii="仿宋_GB2312" w:hAnsi="宋体" w:eastAsia="仿宋_GB2312"/>
                <w:kern w:val="0"/>
              </w:rPr>
            </w:pPr>
          </w:p>
        </w:tc>
        <w:tc>
          <w:tcPr>
            <w:tcW w:w="1122" w:type="dxa"/>
            <w:vMerge w:val="continue"/>
            <w:vAlign w:val="center"/>
          </w:tcPr>
          <w:p>
            <w:pPr>
              <w:widowControl/>
              <w:snapToGrid w:val="0"/>
              <w:jc w:val="center"/>
              <w:rPr>
                <w:rFonts w:ascii="仿宋_GB2312" w:hAnsi="宋体" w:eastAsia="仿宋_GB2312"/>
                <w:kern w:val="0"/>
              </w:rPr>
            </w:pPr>
          </w:p>
        </w:tc>
        <w:tc>
          <w:tcPr>
            <w:tcW w:w="2636" w:type="dxa"/>
            <w:gridSpan w:val="3"/>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kern w:val="0"/>
                <w:lang w:eastAsia="zh-CN"/>
              </w:rPr>
              <w:t>业务培训累计人数</w:t>
            </w:r>
          </w:p>
        </w:tc>
        <w:tc>
          <w:tcPr>
            <w:tcW w:w="1466"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50人</w:t>
            </w:r>
          </w:p>
        </w:tc>
        <w:tc>
          <w:tcPr>
            <w:tcW w:w="1319"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80人</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continue"/>
            <w:vAlign w:val="center"/>
          </w:tcPr>
          <w:p>
            <w:pPr>
              <w:widowControl/>
              <w:snapToGrid w:val="0"/>
              <w:jc w:val="center"/>
              <w:rPr>
                <w:rFonts w:ascii="仿宋_GB2312" w:hAnsi="宋体" w:eastAsia="仿宋_GB2312"/>
                <w:kern w:val="0"/>
              </w:rPr>
            </w:pPr>
          </w:p>
        </w:tc>
        <w:tc>
          <w:tcPr>
            <w:tcW w:w="1122" w:type="dxa"/>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kern w:val="0"/>
                <w:lang w:eastAsia="zh-CN"/>
              </w:rPr>
              <w:t>时效指标</w:t>
            </w:r>
          </w:p>
        </w:tc>
        <w:tc>
          <w:tcPr>
            <w:tcW w:w="2636" w:type="dxa"/>
            <w:gridSpan w:val="3"/>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rPr>
              <w:t>口岸整体进出口时间压缩率</w:t>
            </w:r>
          </w:p>
        </w:tc>
        <w:tc>
          <w:tcPr>
            <w:tcW w:w="1466"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10%</w:t>
            </w:r>
          </w:p>
        </w:tc>
        <w:tc>
          <w:tcPr>
            <w:tcW w:w="1319"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31%</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continue"/>
            <w:vAlign w:val="center"/>
          </w:tcPr>
          <w:p>
            <w:pPr>
              <w:widowControl/>
              <w:snapToGrid w:val="0"/>
              <w:jc w:val="center"/>
              <w:rPr>
                <w:rFonts w:ascii="仿宋_GB2312" w:hAnsi="宋体" w:eastAsia="仿宋_GB2312"/>
                <w:kern w:val="0"/>
              </w:rPr>
            </w:pPr>
          </w:p>
        </w:tc>
        <w:tc>
          <w:tcPr>
            <w:tcW w:w="1122" w:type="dxa"/>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kern w:val="0"/>
                <w:lang w:eastAsia="zh-CN"/>
              </w:rPr>
              <w:t>质量指标</w:t>
            </w:r>
          </w:p>
        </w:tc>
        <w:tc>
          <w:tcPr>
            <w:tcW w:w="2636" w:type="dxa"/>
            <w:gridSpan w:val="3"/>
            <w:vAlign w:val="center"/>
          </w:tcPr>
          <w:p>
            <w:pPr>
              <w:widowControl/>
              <w:snapToGrid w:val="0"/>
              <w:jc w:val="center"/>
              <w:rPr>
                <w:rFonts w:hint="eastAsia" w:ascii="仿宋_GB2312" w:hAnsi="宋体" w:eastAsia="仿宋_GB2312"/>
                <w:kern w:val="0"/>
                <w:lang w:val="en-US" w:eastAsia="zh-CN"/>
              </w:rPr>
            </w:pPr>
            <w:r>
              <w:rPr>
                <w:rFonts w:hint="eastAsia" w:ascii="仿宋_GB2312" w:hAnsi="宋体" w:eastAsia="仿宋_GB2312"/>
                <w:kern w:val="0"/>
                <w:lang w:val="en-US" w:eastAsia="zh-CN"/>
              </w:rPr>
              <w:t>安全事故率</w:t>
            </w:r>
          </w:p>
        </w:tc>
        <w:tc>
          <w:tcPr>
            <w:tcW w:w="1466"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0%</w:t>
            </w:r>
          </w:p>
        </w:tc>
        <w:tc>
          <w:tcPr>
            <w:tcW w:w="1319"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0</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kern w:val="0"/>
              </w:rPr>
            </w:pPr>
          </w:p>
        </w:tc>
        <w:tc>
          <w:tcPr>
            <w:tcW w:w="700" w:type="dxa"/>
            <w:vMerge w:val="restart"/>
            <w:vAlign w:val="center"/>
          </w:tcPr>
          <w:p>
            <w:pPr>
              <w:snapToGrid w:val="0"/>
              <w:jc w:val="center"/>
              <w:rPr>
                <w:rFonts w:ascii="仿宋_GB2312" w:hAnsi="宋体" w:eastAsia="仿宋_GB2312"/>
                <w:kern w:val="0"/>
              </w:rPr>
            </w:pPr>
            <w:r>
              <w:rPr>
                <w:rFonts w:hint="eastAsia" w:ascii="仿宋_GB2312" w:hAnsi="宋体" w:eastAsia="仿宋_GB2312" w:cs="仿宋_GB2312"/>
                <w:kern w:val="0"/>
              </w:rPr>
              <w:t>效益指标</w:t>
            </w:r>
          </w:p>
        </w:tc>
        <w:tc>
          <w:tcPr>
            <w:tcW w:w="1122" w:type="dxa"/>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cs="仿宋_GB2312"/>
                <w:kern w:val="0"/>
                <w:lang w:eastAsia="zh-CN"/>
              </w:rPr>
              <w:t>社会效益</w:t>
            </w:r>
          </w:p>
        </w:tc>
        <w:tc>
          <w:tcPr>
            <w:tcW w:w="2636" w:type="dxa"/>
            <w:gridSpan w:val="3"/>
            <w:vAlign w:val="center"/>
          </w:tcPr>
          <w:p>
            <w:pPr>
              <w:widowControl/>
              <w:snapToGrid w:val="0"/>
              <w:jc w:val="center"/>
              <w:rPr>
                <w:rFonts w:ascii="仿宋_GB2312" w:hAnsi="宋体" w:eastAsia="仿宋_GB2312"/>
                <w:kern w:val="0"/>
              </w:rPr>
            </w:pPr>
            <w:r>
              <w:rPr>
                <w:rFonts w:hint="eastAsia" w:ascii="仿宋_GB2312" w:hAnsi="宋体" w:eastAsia="仿宋_GB2312"/>
                <w:kern w:val="0"/>
              </w:rPr>
              <w:t>上省级电台及报刊宣传报道</w:t>
            </w:r>
          </w:p>
        </w:tc>
        <w:tc>
          <w:tcPr>
            <w:tcW w:w="1466" w:type="dxa"/>
            <w:vAlign w:val="center"/>
          </w:tcPr>
          <w:p>
            <w:pPr>
              <w:widowControl/>
              <w:snapToGrid w:val="0"/>
              <w:jc w:val="center"/>
              <w:rPr>
                <w:rFonts w:hint="eastAsia" w:ascii="仿宋_GB2312" w:hAnsi="宋体" w:eastAsia="仿宋_GB2312"/>
                <w:kern w:val="0"/>
                <w:lang w:val="en-US" w:eastAsia="zh-CN"/>
              </w:rPr>
            </w:pPr>
            <w:r>
              <w:rPr>
                <w:rFonts w:hint="eastAsia" w:ascii="仿宋_GB2312" w:hAnsi="宋体" w:eastAsia="仿宋_GB2312"/>
                <w:kern w:val="0"/>
                <w:lang w:val="en-US" w:eastAsia="zh-CN"/>
              </w:rPr>
              <w:t>1次</w:t>
            </w:r>
          </w:p>
        </w:tc>
        <w:tc>
          <w:tcPr>
            <w:tcW w:w="1319"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2次</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kern w:val="0"/>
              </w:rPr>
            </w:pPr>
          </w:p>
        </w:tc>
        <w:tc>
          <w:tcPr>
            <w:tcW w:w="700" w:type="dxa"/>
            <w:vMerge w:val="continue"/>
            <w:vAlign w:val="center"/>
          </w:tcPr>
          <w:p>
            <w:pPr>
              <w:widowControl/>
              <w:snapToGrid w:val="0"/>
              <w:jc w:val="center"/>
              <w:rPr>
                <w:rFonts w:ascii="仿宋_GB2312" w:hAnsi="宋体" w:eastAsia="仿宋_GB2312"/>
                <w:kern w:val="0"/>
              </w:rPr>
            </w:pPr>
          </w:p>
        </w:tc>
        <w:tc>
          <w:tcPr>
            <w:tcW w:w="1122" w:type="dxa"/>
            <w:vAlign w:val="center"/>
          </w:tcPr>
          <w:p>
            <w:pPr>
              <w:widowControl/>
              <w:snapToGrid w:val="0"/>
              <w:jc w:val="both"/>
              <w:rPr>
                <w:rFonts w:hint="eastAsia" w:ascii="仿宋_GB2312" w:hAnsi="宋体" w:eastAsia="仿宋_GB2312"/>
                <w:kern w:val="0"/>
                <w:lang w:eastAsia="zh-CN"/>
              </w:rPr>
            </w:pPr>
            <w:r>
              <w:rPr>
                <w:rFonts w:hint="eastAsia" w:ascii="仿宋_GB2312" w:hAnsi="宋体" w:eastAsia="仿宋_GB2312"/>
                <w:kern w:val="0"/>
                <w:lang w:eastAsia="zh-CN"/>
              </w:rPr>
              <w:t>经济效益</w:t>
            </w:r>
          </w:p>
        </w:tc>
        <w:tc>
          <w:tcPr>
            <w:tcW w:w="2636" w:type="dxa"/>
            <w:gridSpan w:val="3"/>
            <w:vAlign w:val="center"/>
          </w:tcPr>
          <w:p>
            <w:pPr>
              <w:widowControl/>
              <w:snapToGrid w:val="0"/>
              <w:jc w:val="center"/>
              <w:rPr>
                <w:rFonts w:ascii="仿宋_GB2312" w:hAnsi="宋体" w:eastAsia="仿宋_GB2312"/>
                <w:kern w:val="0"/>
              </w:rPr>
            </w:pPr>
            <w:r>
              <w:rPr>
                <w:rFonts w:hint="eastAsia" w:ascii="仿宋_GB2312" w:hAnsi="宋体" w:eastAsia="仿宋_GB2312"/>
                <w:kern w:val="0"/>
              </w:rPr>
              <w:t>口岸进出口货物吞吐量增长率</w:t>
            </w:r>
          </w:p>
        </w:tc>
        <w:tc>
          <w:tcPr>
            <w:tcW w:w="1466"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15%</w:t>
            </w:r>
          </w:p>
        </w:tc>
        <w:tc>
          <w:tcPr>
            <w:tcW w:w="1319"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22%</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kern w:val="0"/>
              </w:rPr>
            </w:pPr>
          </w:p>
        </w:tc>
        <w:tc>
          <w:tcPr>
            <w:tcW w:w="700" w:type="dxa"/>
            <w:vAlign w:val="center"/>
          </w:tcPr>
          <w:p>
            <w:pPr>
              <w:widowControl/>
              <w:snapToGrid w:val="0"/>
              <w:jc w:val="center"/>
              <w:rPr>
                <w:rFonts w:ascii="仿宋_GB2312" w:hAnsi="宋体" w:eastAsia="仿宋_GB2312"/>
                <w:kern w:val="0"/>
              </w:rPr>
            </w:pPr>
            <w:r>
              <w:rPr>
                <w:rFonts w:hint="eastAsia" w:ascii="仿宋_GB2312" w:hAnsi="宋体" w:eastAsia="仿宋_GB2312"/>
                <w:kern w:val="0"/>
              </w:rPr>
              <w:t>满意度指标</w:t>
            </w:r>
          </w:p>
        </w:tc>
        <w:tc>
          <w:tcPr>
            <w:tcW w:w="1122" w:type="dxa"/>
            <w:vAlign w:val="center"/>
          </w:tcPr>
          <w:p>
            <w:pPr>
              <w:widowControl/>
              <w:snapToGrid w:val="0"/>
              <w:jc w:val="center"/>
              <w:rPr>
                <w:rFonts w:hint="eastAsia" w:ascii="仿宋_GB2312" w:hAnsi="宋体" w:eastAsia="仿宋_GB2312" w:cs="仿宋_GB2312"/>
                <w:kern w:val="0"/>
                <w:lang w:eastAsia="zh-CN"/>
              </w:rPr>
            </w:pPr>
            <w:r>
              <w:rPr>
                <w:rFonts w:hint="eastAsia" w:ascii="仿宋_GB2312" w:hAnsi="宋体" w:eastAsia="仿宋_GB2312"/>
                <w:kern w:val="0"/>
              </w:rPr>
              <w:t>服务对象满意度</w:t>
            </w:r>
            <w:r>
              <w:rPr>
                <w:rFonts w:hint="eastAsia" w:ascii="仿宋_GB2312" w:hAnsi="宋体" w:eastAsia="仿宋_GB2312" w:cs="仿宋_GB2312"/>
                <w:kern w:val="0"/>
                <w:lang w:eastAsia="zh-CN"/>
              </w:rPr>
              <w:t>指标</w:t>
            </w:r>
          </w:p>
        </w:tc>
        <w:tc>
          <w:tcPr>
            <w:tcW w:w="2636" w:type="dxa"/>
            <w:gridSpan w:val="3"/>
            <w:vAlign w:val="center"/>
          </w:tcPr>
          <w:p>
            <w:pPr>
              <w:widowControl/>
              <w:snapToGrid w:val="0"/>
              <w:jc w:val="center"/>
              <w:rPr>
                <w:rFonts w:ascii="仿宋_GB2312" w:hAnsi="宋体" w:eastAsia="仿宋_GB2312"/>
                <w:kern w:val="0"/>
              </w:rPr>
            </w:pPr>
            <w:r>
              <w:rPr>
                <w:rFonts w:hint="eastAsia" w:ascii="仿宋_GB2312" w:hAnsi="宋体" w:eastAsia="仿宋_GB2312"/>
                <w:kern w:val="0"/>
              </w:rPr>
              <w:t>服务对象满意度</w:t>
            </w:r>
          </w:p>
        </w:tc>
        <w:tc>
          <w:tcPr>
            <w:tcW w:w="1466" w:type="dxa"/>
            <w:vAlign w:val="center"/>
          </w:tcPr>
          <w:p>
            <w:pPr>
              <w:widowControl/>
              <w:snapToGrid w:val="0"/>
              <w:jc w:val="center"/>
              <w:rPr>
                <w:rFonts w:ascii="仿宋_GB2312" w:hAnsi="宋体" w:eastAsia="仿宋_GB2312"/>
                <w:kern w:val="0"/>
              </w:rPr>
            </w:pPr>
            <w:r>
              <w:rPr>
                <w:rFonts w:hint="eastAsia" w:ascii="仿宋_GB2312" w:hAnsi="宋体" w:eastAsia="仿宋_GB2312"/>
                <w:kern w:val="0"/>
              </w:rPr>
              <w:t>≧95%</w:t>
            </w:r>
          </w:p>
        </w:tc>
        <w:tc>
          <w:tcPr>
            <w:tcW w:w="1319"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95</w:t>
            </w:r>
            <w:bookmarkStart w:id="0" w:name="_GoBack"/>
            <w:bookmarkEnd w:id="0"/>
            <w:r>
              <w:rPr>
                <w:rFonts w:hint="eastAsia" w:ascii="仿宋_GB2312" w:hAnsi="宋体" w:eastAsia="仿宋_GB2312"/>
                <w:kern w:val="0"/>
                <w:lang w:val="en-US" w:eastAsia="zh-CN"/>
              </w:rPr>
              <w:t>%</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总分</w:t>
            </w:r>
          </w:p>
        </w:tc>
        <w:tc>
          <w:tcPr>
            <w:tcW w:w="8120" w:type="dxa"/>
            <w:gridSpan w:val="9"/>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0" w:hRule="atLeast"/>
          <w:jc w:val="center"/>
        </w:trPr>
        <w:tc>
          <w:tcPr>
            <w:tcW w:w="1528" w:type="dxa"/>
            <w:gridSpan w:val="2"/>
            <w:vAlign w:val="center"/>
          </w:tcPr>
          <w:p>
            <w:pPr>
              <w:widowControl/>
              <w:jc w:val="center"/>
              <w:rPr>
                <w:rFonts w:ascii="仿宋_GB2312" w:hAnsi="宋体" w:eastAsia="仿宋_GB2312"/>
                <w:kern w:val="0"/>
                <w:highlight w:val="none"/>
              </w:rPr>
            </w:pPr>
            <w:r>
              <w:rPr>
                <w:rFonts w:hint="eastAsia" w:ascii="仿宋_GB2312" w:hAnsi="宋体" w:eastAsia="仿宋_GB2312" w:cs="仿宋_GB2312"/>
                <w:kern w:val="0"/>
                <w:highlight w:val="none"/>
              </w:rPr>
              <w:t>偏差大或</w:t>
            </w:r>
          </w:p>
          <w:p>
            <w:pPr>
              <w:widowControl/>
              <w:jc w:val="center"/>
              <w:rPr>
                <w:rFonts w:ascii="仿宋_GB2312" w:hAnsi="宋体" w:eastAsia="仿宋_GB2312"/>
                <w:kern w:val="0"/>
                <w:highlight w:val="none"/>
              </w:rPr>
            </w:pPr>
            <w:r>
              <w:rPr>
                <w:rFonts w:hint="eastAsia" w:ascii="仿宋_GB2312" w:hAnsi="宋体" w:eastAsia="仿宋_GB2312" w:cs="仿宋_GB2312"/>
                <w:kern w:val="0"/>
                <w:highlight w:val="none"/>
              </w:rPr>
              <w:t>目标未完成</w:t>
            </w:r>
          </w:p>
          <w:p>
            <w:pPr>
              <w:widowControl/>
              <w:jc w:val="center"/>
              <w:rPr>
                <w:rFonts w:ascii="仿宋_GB2312" w:hAnsi="宋体" w:eastAsia="仿宋_GB2312"/>
                <w:kern w:val="0"/>
                <w:highlight w:val="yellow"/>
              </w:rPr>
            </w:pPr>
            <w:r>
              <w:rPr>
                <w:rFonts w:hint="eastAsia" w:ascii="仿宋_GB2312" w:hAnsi="宋体" w:eastAsia="仿宋_GB2312" w:cs="仿宋_GB2312"/>
                <w:kern w:val="0"/>
                <w:highlight w:val="none"/>
              </w:rPr>
              <w:t>原因分析</w:t>
            </w:r>
          </w:p>
        </w:tc>
        <w:tc>
          <w:tcPr>
            <w:tcW w:w="7420" w:type="dxa"/>
            <w:gridSpan w:val="8"/>
            <w:vAlign w:val="center"/>
          </w:tcPr>
          <w:p>
            <w:pPr>
              <w:widowControl/>
              <w:jc w:val="left"/>
              <w:rPr>
                <w:rFonts w:hint="default" w:ascii="仿宋_GB2312" w:hAnsi="宋体" w:eastAsia="仿宋_GB2312"/>
                <w:kern w:val="0"/>
                <w:highlight w:val="yellow"/>
                <w:lang w:val="en-US" w:eastAsia="zh-CN"/>
              </w:rPr>
            </w:pPr>
            <w:r>
              <w:rPr>
                <w:rFonts w:hint="eastAsia" w:ascii="仿宋_GB2312" w:hAnsi="宋体" w:eastAsia="仿宋_GB2312"/>
                <w:kern w:val="0"/>
                <w:lang w:val="en-US" w:eastAsia="zh-CN"/>
              </w:rPr>
              <w:t>由于保税中心升级为综保区，建设期间业务暂停。2023年2月10日黄石综保区顺利通过验收，目前保税物流中心拟申请注销，所有业务已转移至综合保税区办理。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5" w:hRule="atLeast"/>
          <w:jc w:val="center"/>
        </w:trPr>
        <w:tc>
          <w:tcPr>
            <w:tcW w:w="1528" w:type="dxa"/>
            <w:gridSpan w:val="2"/>
            <w:vAlign w:val="center"/>
          </w:tcPr>
          <w:p>
            <w:pPr>
              <w:widowControl/>
              <w:jc w:val="center"/>
              <w:rPr>
                <w:rFonts w:ascii="仿宋_GB2312" w:hAnsi="宋体" w:eastAsia="仿宋_GB2312"/>
                <w:kern w:val="0"/>
                <w:highlight w:val="none"/>
              </w:rPr>
            </w:pPr>
            <w:r>
              <w:rPr>
                <w:rFonts w:hint="eastAsia" w:ascii="仿宋_GB2312" w:hAnsi="宋体" w:eastAsia="仿宋_GB2312" w:cs="仿宋_GB2312"/>
                <w:kern w:val="0"/>
                <w:highlight w:val="none"/>
              </w:rPr>
              <w:t>改进措施及</w:t>
            </w:r>
          </w:p>
          <w:p>
            <w:pPr>
              <w:widowControl/>
              <w:jc w:val="center"/>
              <w:rPr>
                <w:rFonts w:ascii="仿宋_GB2312" w:hAnsi="宋体" w:eastAsia="仿宋_GB2312"/>
                <w:kern w:val="0"/>
                <w:highlight w:val="none"/>
              </w:rPr>
            </w:pPr>
            <w:r>
              <w:rPr>
                <w:rFonts w:hint="eastAsia" w:ascii="仿宋_GB2312" w:hAnsi="宋体" w:eastAsia="仿宋_GB2312" w:cs="仿宋_GB2312"/>
                <w:kern w:val="0"/>
                <w:highlight w:val="none"/>
              </w:rPr>
              <w:t>结果应用方案</w:t>
            </w:r>
          </w:p>
        </w:tc>
        <w:tc>
          <w:tcPr>
            <w:tcW w:w="7420" w:type="dxa"/>
            <w:gridSpan w:val="8"/>
            <w:vAlign w:val="center"/>
          </w:tcPr>
          <w:p>
            <w:pPr>
              <w:widowControl/>
              <w:jc w:val="left"/>
              <w:rPr>
                <w:rFonts w:hint="eastAsia" w:ascii="仿宋_GB2312" w:hAnsi="宋体" w:eastAsia="仿宋_GB2312"/>
                <w:kern w:val="0"/>
                <w:highlight w:val="none"/>
                <w:lang w:val="en-US" w:eastAsia="zh-CN"/>
              </w:rPr>
            </w:pPr>
            <w:r>
              <w:rPr>
                <w:rFonts w:hint="eastAsia" w:ascii="仿宋_GB2312" w:hAnsi="宋体" w:eastAsia="仿宋_GB2312"/>
                <w:kern w:val="0"/>
                <w:highlight w:val="none"/>
                <w:lang w:val="en-US" w:eastAsia="zh-CN"/>
              </w:rPr>
              <w:t>（一）</w:t>
            </w:r>
            <w:r>
              <w:rPr>
                <w:rFonts w:hint="eastAsia" w:ascii="仿宋_GB2312" w:hAnsi="宋体" w:eastAsia="仿宋_GB2312"/>
                <w:kern w:val="0"/>
                <w:highlight w:val="none"/>
                <w:lang w:eastAsia="zh-CN"/>
              </w:rPr>
              <w:t>提“升”口岸进出口吞吐量。力争</w:t>
            </w:r>
            <w:r>
              <w:rPr>
                <w:rFonts w:hint="eastAsia" w:ascii="仿宋_GB2312" w:hAnsi="宋体" w:eastAsia="仿宋_GB2312"/>
                <w:kern w:val="0"/>
                <w:highlight w:val="none"/>
                <w:lang w:val="en-US" w:eastAsia="zh-CN"/>
              </w:rPr>
              <w:t>2022年黄石口岸进出口吞吐量实现10%的增长，集装箱量突破8万标箱。</w:t>
            </w:r>
          </w:p>
          <w:p>
            <w:pPr>
              <w:widowControl/>
              <w:jc w:val="left"/>
              <w:rPr>
                <w:rFonts w:hint="eastAsia" w:ascii="仿宋_GB2312" w:hAnsi="宋体" w:eastAsia="仿宋_GB2312"/>
                <w:kern w:val="0"/>
                <w:highlight w:val="none"/>
                <w:lang w:val="en-US" w:eastAsia="zh-CN"/>
              </w:rPr>
            </w:pPr>
            <w:r>
              <w:rPr>
                <w:rFonts w:hint="eastAsia" w:ascii="仿宋_GB2312" w:hAnsi="宋体" w:eastAsia="仿宋_GB2312"/>
                <w:kern w:val="0"/>
                <w:highlight w:val="none"/>
                <w:lang w:val="en-US" w:eastAsia="zh-CN"/>
              </w:rPr>
              <w:t>（二）提“升”综保区运营绩效。持续跟进深圳粤长远、大冶有色混矿等项目落地，力争黄石综保区第一年进出口货值实现30亿元。</w:t>
            </w:r>
          </w:p>
          <w:p>
            <w:pPr>
              <w:widowControl/>
              <w:jc w:val="left"/>
              <w:rPr>
                <w:rFonts w:hint="eastAsia" w:ascii="仿宋_GB2312" w:hAnsi="宋体" w:eastAsia="仿宋_GB2312"/>
                <w:kern w:val="0"/>
                <w:highlight w:val="none"/>
                <w:lang w:eastAsia="zh-CN"/>
              </w:rPr>
            </w:pPr>
            <w:r>
              <w:rPr>
                <w:rFonts w:hint="eastAsia" w:ascii="仿宋_GB2312" w:hAnsi="宋体" w:eastAsia="仿宋_GB2312"/>
                <w:kern w:val="0"/>
                <w:highlight w:val="none"/>
                <w:lang w:val="en-US" w:eastAsia="zh-CN"/>
              </w:rPr>
              <w:t>（三）提“升”口岸通关效率。巩固口岸提效降费改革成果，加快智慧口岸建设，</w:t>
            </w:r>
            <w:r>
              <w:rPr>
                <w:rFonts w:hint="eastAsia" w:ascii="仿宋_GB2312" w:hAnsi="宋体" w:eastAsia="仿宋_GB2312"/>
                <w:kern w:val="0"/>
                <w:highlight w:val="none"/>
              </w:rPr>
              <w:t>全力推行“两步申报”、“两段准入”、“提前申报”、“船边直提”、“抵港直装”等便利措施</w:t>
            </w:r>
            <w:r>
              <w:rPr>
                <w:rFonts w:hint="eastAsia" w:ascii="仿宋_GB2312" w:hAnsi="宋体" w:eastAsia="仿宋_GB2312"/>
                <w:kern w:val="0"/>
                <w:highlight w:val="none"/>
                <w:lang w:eastAsia="zh-CN"/>
              </w:rPr>
              <w:t>。</w:t>
            </w:r>
          </w:p>
          <w:p>
            <w:pPr>
              <w:widowControl/>
              <w:jc w:val="left"/>
              <w:rPr>
                <w:rFonts w:ascii="仿宋_GB2312" w:hAnsi="宋体" w:eastAsia="仿宋_GB2312"/>
                <w:kern w:val="0"/>
                <w:highlight w:val="none"/>
              </w:rPr>
            </w:pPr>
          </w:p>
        </w:tc>
      </w:tr>
    </w:tbl>
    <w:p>
      <w:pPr>
        <w:widowControl/>
        <w:rPr>
          <w:rFonts w:ascii="仿宋_GB2312" w:hAnsi="宋体" w:eastAsia="仿宋_GB2312"/>
          <w:kern w:val="0"/>
        </w:rPr>
      </w:pPr>
      <w:r>
        <w:rPr>
          <w:rFonts w:hint="eastAsia" w:ascii="仿宋_GB2312" w:hAnsi="宋体" w:eastAsia="仿宋_GB2312" w:cs="仿宋_GB2312"/>
          <w:kern w:val="0"/>
        </w:rPr>
        <w:t>备注：</w:t>
      </w:r>
    </w:p>
    <w:p>
      <w:pPr>
        <w:widowControl/>
        <w:ind w:firstLine="420" w:firstLineChars="200"/>
        <w:rPr>
          <w:rFonts w:ascii="仿宋_GB2312" w:hAnsi="宋体" w:eastAsia="仿宋_GB2312"/>
          <w:kern w:val="0"/>
        </w:rPr>
      </w:pPr>
      <w:r>
        <w:rPr>
          <w:rFonts w:ascii="仿宋_GB2312" w:hAnsi="宋体" w:eastAsia="仿宋_GB2312" w:cs="仿宋_GB2312"/>
          <w:kern w:val="0"/>
        </w:rPr>
        <w:t>1.</w:t>
      </w:r>
      <w:r>
        <w:rPr>
          <w:rFonts w:hint="eastAsia" w:ascii="仿宋_GB2312" w:hAnsi="宋体" w:eastAsia="仿宋_GB2312" w:cs="仿宋_GB2312"/>
          <w:kern w:val="0"/>
        </w:rPr>
        <w:t>预算执行情况口径：预算数为调整后财政资金总额（包括上年结余结转），执行数为资金使用单位财政资金实际支出数。涉及政府采购的项目支出要设置相关绩效指标反映政府采购管理情况。</w:t>
      </w:r>
    </w:p>
    <w:p>
      <w:pPr>
        <w:widowControl/>
        <w:ind w:firstLine="420" w:firstLineChars="200"/>
        <w:rPr>
          <w:rFonts w:ascii="仿宋_GB2312" w:hAnsi="宋体" w:eastAsia="仿宋_GB2312"/>
          <w:kern w:val="0"/>
        </w:rPr>
      </w:pPr>
      <w:r>
        <w:rPr>
          <w:rFonts w:ascii="仿宋_GB2312" w:hAnsi="宋体" w:eastAsia="仿宋_GB2312" w:cs="仿宋_GB2312"/>
          <w:kern w:val="0"/>
        </w:rPr>
        <w:t>2.</w:t>
      </w:r>
      <w:r>
        <w:rPr>
          <w:rFonts w:hint="eastAsia" w:ascii="仿宋_GB2312" w:hAnsi="宋体" w:eastAsia="仿宋_GB2312" w:cs="仿宋_GB2312"/>
          <w:kern w:val="0"/>
        </w:rPr>
        <w:t>定量指标完成数汇总原则：绝对值直接累加计算，相对值按照资金额度加权平均计算。定量指标计分原则：正向指标（即目标值为≥</w:t>
      </w:r>
      <w:r>
        <w:rPr>
          <w:rFonts w:ascii="仿宋_GB2312" w:hAnsi="宋体" w:eastAsia="仿宋_GB2312" w:cs="仿宋_GB2312"/>
          <w:kern w:val="0"/>
        </w:rPr>
        <w:t>X,</w:t>
      </w:r>
      <w:r>
        <w:rPr>
          <w:rFonts w:hint="eastAsia" w:ascii="仿宋_GB2312" w:hAnsi="宋体" w:eastAsia="仿宋_GB2312" w:cs="仿宋_GB2312"/>
          <w:kern w:val="0"/>
        </w:rPr>
        <w:t>得分</w:t>
      </w:r>
      <w:r>
        <w:rPr>
          <w:rFonts w:ascii="仿宋_GB2312" w:hAnsi="宋体" w:eastAsia="仿宋_GB2312" w:cs="仿宋_GB2312"/>
          <w:kern w:val="0"/>
        </w:rPr>
        <w:t>=</w:t>
      </w:r>
      <w:r>
        <w:rPr>
          <w:rFonts w:hint="eastAsia" w:ascii="仿宋_GB2312" w:hAnsi="宋体" w:eastAsia="仿宋_GB2312" w:cs="仿宋_GB2312"/>
          <w:kern w:val="0"/>
        </w:rPr>
        <w:t>权重</w:t>
      </w:r>
      <w:r>
        <w:rPr>
          <w:rFonts w:ascii="仿宋_GB2312" w:hAnsi="宋体" w:eastAsia="仿宋_GB2312" w:cs="仿宋_GB2312"/>
          <w:kern w:val="0"/>
        </w:rPr>
        <w:t>*B/A</w:t>
      </w:r>
      <w:r>
        <w:rPr>
          <w:rFonts w:hint="eastAsia" w:ascii="仿宋_GB2312" w:hAnsi="宋体" w:eastAsia="仿宋_GB2312" w:cs="仿宋_GB2312"/>
          <w:kern w:val="0"/>
        </w:rPr>
        <w:t>），反向指标（即目标值为≤</w:t>
      </w:r>
      <w:r>
        <w:rPr>
          <w:rFonts w:ascii="仿宋_GB2312" w:hAnsi="宋体" w:eastAsia="仿宋_GB2312" w:cs="仿宋_GB2312"/>
          <w:kern w:val="0"/>
        </w:rPr>
        <w:t>X</w:t>
      </w:r>
      <w:r>
        <w:rPr>
          <w:rFonts w:hint="eastAsia" w:ascii="仿宋_GB2312" w:hAnsi="宋体" w:eastAsia="仿宋_GB2312" w:cs="仿宋_GB2312"/>
          <w:kern w:val="0"/>
        </w:rPr>
        <w:t>，得分</w:t>
      </w:r>
      <w:r>
        <w:rPr>
          <w:rFonts w:ascii="仿宋_GB2312" w:hAnsi="宋体" w:eastAsia="仿宋_GB2312" w:cs="仿宋_GB2312"/>
          <w:kern w:val="0"/>
        </w:rPr>
        <w:t>=</w:t>
      </w:r>
      <w:r>
        <w:rPr>
          <w:rFonts w:hint="eastAsia" w:ascii="仿宋_GB2312" w:hAnsi="宋体" w:eastAsia="仿宋_GB2312" w:cs="仿宋_GB2312"/>
          <w:kern w:val="0"/>
        </w:rPr>
        <w:t>权重</w:t>
      </w:r>
      <w:r>
        <w:rPr>
          <w:rFonts w:ascii="仿宋_GB2312" w:hAnsi="宋体" w:eastAsia="仿宋_GB2312" w:cs="仿宋_GB2312"/>
          <w:kern w:val="0"/>
        </w:rPr>
        <w:t>*A/B）</w:t>
      </w:r>
      <w:r>
        <w:rPr>
          <w:rFonts w:hint="eastAsia" w:ascii="仿宋_GB2312" w:hAnsi="宋体" w:eastAsia="仿宋_GB2312" w:cs="仿宋_GB2312"/>
          <w:kern w:val="0"/>
        </w:rPr>
        <w:t>，得分不得突破权重总额。定量指标先汇总完成数，再计算得分。</w:t>
      </w:r>
    </w:p>
    <w:p>
      <w:pPr>
        <w:widowControl/>
        <w:ind w:firstLine="420" w:firstLineChars="200"/>
        <w:rPr>
          <w:rFonts w:ascii="仿宋_GB2312" w:hAnsi="宋体" w:eastAsia="仿宋_GB2312"/>
          <w:kern w:val="0"/>
        </w:rPr>
      </w:pPr>
      <w:r>
        <w:rPr>
          <w:rFonts w:ascii="仿宋_GB2312" w:hAnsi="宋体" w:eastAsia="仿宋_GB2312" w:cs="仿宋_GB2312"/>
          <w:kern w:val="0"/>
        </w:rPr>
        <w:t>3.</w:t>
      </w:r>
      <w:r>
        <w:rPr>
          <w:rFonts w:hint="eastAsia" w:ascii="仿宋_GB2312" w:hAnsi="宋体" w:eastAsia="仿宋_GB2312" w:cs="仿宋_GB2312"/>
          <w:kern w:val="0"/>
        </w:rPr>
        <w:t>定性指标计分原则：达成预期指标、部分达成预期指标并具有一定效果、未达成预期指标且效果较差三档，分别按照该指标对应分值区间</w:t>
      </w:r>
      <w:r>
        <w:rPr>
          <w:rFonts w:ascii="仿宋_GB2312" w:hAnsi="宋体" w:eastAsia="仿宋_GB2312" w:cs="仿宋_GB2312"/>
          <w:kern w:val="0"/>
        </w:rPr>
        <w:t>100-80%</w:t>
      </w:r>
      <w:r>
        <w:rPr>
          <w:rFonts w:hint="eastAsia" w:ascii="仿宋_GB2312" w:hAnsi="宋体" w:eastAsia="仿宋_GB2312" w:cs="仿宋_GB2312"/>
          <w:kern w:val="0"/>
        </w:rPr>
        <w:t>（含</w:t>
      </w:r>
      <w:r>
        <w:rPr>
          <w:rFonts w:ascii="仿宋_GB2312" w:hAnsi="宋体" w:eastAsia="仿宋_GB2312" w:cs="仿宋_GB2312"/>
          <w:kern w:val="0"/>
        </w:rPr>
        <w:t>80%</w:t>
      </w:r>
      <w:r>
        <w:rPr>
          <w:rFonts w:hint="eastAsia" w:ascii="仿宋_GB2312" w:hAnsi="宋体" w:eastAsia="仿宋_GB2312" w:cs="仿宋_GB2312"/>
          <w:kern w:val="0"/>
        </w:rPr>
        <w:t>）、</w:t>
      </w:r>
      <w:r>
        <w:rPr>
          <w:rFonts w:ascii="仿宋_GB2312" w:hAnsi="宋体" w:eastAsia="仿宋_GB2312" w:cs="仿宋_GB2312"/>
          <w:kern w:val="0"/>
        </w:rPr>
        <w:t>80-50%</w:t>
      </w:r>
      <w:r>
        <w:rPr>
          <w:rFonts w:hint="eastAsia" w:ascii="仿宋_GB2312" w:hAnsi="宋体" w:eastAsia="仿宋_GB2312" w:cs="仿宋_GB2312"/>
          <w:kern w:val="0"/>
        </w:rPr>
        <w:t>（含</w:t>
      </w:r>
      <w:r>
        <w:rPr>
          <w:rFonts w:ascii="仿宋_GB2312" w:hAnsi="宋体" w:eastAsia="仿宋_GB2312" w:cs="仿宋_GB2312"/>
          <w:kern w:val="0"/>
        </w:rPr>
        <w:t>50%</w:t>
      </w:r>
      <w:r>
        <w:rPr>
          <w:rFonts w:hint="eastAsia" w:ascii="仿宋_GB2312" w:hAnsi="宋体" w:eastAsia="仿宋_GB2312" w:cs="仿宋_GB2312"/>
          <w:kern w:val="0"/>
        </w:rPr>
        <w:t>）、</w:t>
      </w:r>
      <w:r>
        <w:rPr>
          <w:rFonts w:ascii="仿宋_GB2312" w:hAnsi="宋体" w:eastAsia="仿宋_GB2312" w:cs="仿宋_GB2312"/>
          <w:kern w:val="0"/>
        </w:rPr>
        <w:t>50-0%</w:t>
      </w:r>
      <w:r>
        <w:rPr>
          <w:rFonts w:hint="eastAsia" w:ascii="仿宋_GB2312" w:hAnsi="宋体" w:eastAsia="仿宋_GB2312" w:cs="仿宋_GB2312"/>
          <w:kern w:val="0"/>
        </w:rPr>
        <w:t>合理确定分值。汇总时，以资金额度为权重，对分值进行加权平均计算。</w:t>
      </w:r>
    </w:p>
    <w:p>
      <w:pPr>
        <w:rPr>
          <w:rFonts w:ascii="仿宋_GB2312" w:hAnsi="宋体" w:eastAsia="仿宋_GB2312" w:cs="仿宋_GB2312"/>
          <w:kern w:val="0"/>
        </w:rPr>
      </w:pPr>
      <w:r>
        <w:rPr>
          <w:rFonts w:ascii="仿宋_GB2312" w:hAnsi="宋体" w:eastAsia="仿宋_GB2312" w:cs="仿宋_GB2312"/>
          <w:kern w:val="0"/>
        </w:rPr>
        <w:t>4.</w:t>
      </w:r>
      <w:r>
        <w:rPr>
          <w:rFonts w:hint="eastAsia" w:ascii="仿宋_GB2312" w:hAnsi="宋体" w:eastAsia="仿宋_GB2312" w:cs="仿宋_GB2312"/>
          <w:kern w:val="0"/>
        </w:rPr>
        <w:t>基于经济性和必要性等因素考虑，满意度指标暂可不作为必评指标。</w:t>
      </w:r>
    </w:p>
    <w:p>
      <w:pPr>
        <w:spacing w:line="620" w:lineRule="exact"/>
        <w:ind w:firstLine="420" w:firstLineChars="200"/>
        <w:rPr>
          <w:rFonts w:ascii="仿宋_GB2312" w:eastAsia="仿宋_GB2312"/>
          <w:sz w:val="32"/>
          <w:szCs w:val="32"/>
        </w:rPr>
      </w:pPr>
      <w:r>
        <w:rPr>
          <w:rFonts w:hint="eastAsia" w:ascii="仿宋_GB2312" w:hAnsi="宋体" w:eastAsia="仿宋_GB2312" w:cs="仿宋_GB2312"/>
          <w:kern w:val="0"/>
        </w:rPr>
        <w:t>5.涉及政府采购的项目支出应设置相关政府采购指标。</w:t>
      </w:r>
    </w:p>
    <w:sectPr>
      <w:pgSz w:w="11906" w:h="16838"/>
      <w:pgMar w:top="1644" w:right="1644" w:bottom="1644"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kMzdiZmYzZDExMDc1NzM5YWM0NWQyMzY3YjEwOTQifQ=="/>
  </w:docVars>
  <w:rsids>
    <w:rsidRoot w:val="005875AC"/>
    <w:rsid w:val="002D671C"/>
    <w:rsid w:val="003340AF"/>
    <w:rsid w:val="003F5028"/>
    <w:rsid w:val="005875AC"/>
    <w:rsid w:val="00613417"/>
    <w:rsid w:val="00B32C0C"/>
    <w:rsid w:val="00D13234"/>
    <w:rsid w:val="00D65302"/>
    <w:rsid w:val="00E9709F"/>
    <w:rsid w:val="00FF3F65"/>
    <w:rsid w:val="06BC0D27"/>
    <w:rsid w:val="0A99282A"/>
    <w:rsid w:val="106122EE"/>
    <w:rsid w:val="12387D34"/>
    <w:rsid w:val="1A420551"/>
    <w:rsid w:val="1A4F17C3"/>
    <w:rsid w:val="23334ED2"/>
    <w:rsid w:val="257A6606"/>
    <w:rsid w:val="279FC314"/>
    <w:rsid w:val="28C00028"/>
    <w:rsid w:val="347B14FC"/>
    <w:rsid w:val="37C74F70"/>
    <w:rsid w:val="392A0C8D"/>
    <w:rsid w:val="411F4E39"/>
    <w:rsid w:val="431B274F"/>
    <w:rsid w:val="44E279F1"/>
    <w:rsid w:val="58F65DE7"/>
    <w:rsid w:val="5CB69C9F"/>
    <w:rsid w:val="627135AA"/>
    <w:rsid w:val="67472B3E"/>
    <w:rsid w:val="69C36846"/>
    <w:rsid w:val="6B011F75"/>
    <w:rsid w:val="77682A52"/>
    <w:rsid w:val="7ACE5AC8"/>
    <w:rsid w:val="7FE94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0"/>
    <w:rPr>
      <w:kern w:val="2"/>
      <w:sz w:val="18"/>
      <w:szCs w:val="18"/>
    </w:rPr>
  </w:style>
  <w:style w:type="character" w:customStyle="1" w:styleId="8">
    <w:name w:val="页脚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1074</Words>
  <Characters>1157</Characters>
  <Lines>23</Lines>
  <Paragraphs>6</Paragraphs>
  <TotalTime>6</TotalTime>
  <ScaleCrop>false</ScaleCrop>
  <LinksUpToDate>false</LinksUpToDate>
  <CharactersWithSpaces>1210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111</dc:creator>
  <cp:lastModifiedBy>程丹</cp:lastModifiedBy>
  <cp:lastPrinted>2022-06-08T09:39:00Z</cp:lastPrinted>
  <dcterms:modified xsi:type="dcterms:W3CDTF">2023-07-07T05:31:31Z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EFBD3572B91F4036819091361D9765E9</vt:lpwstr>
  </property>
</Properties>
</file>