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黑体" w:eastAsia="黑体" w:cs="黑体"/>
          <w:sz w:val="36"/>
          <w:szCs w:val="36"/>
        </w:rPr>
      </w:pPr>
      <w:r>
        <w:rPr>
          <w:rFonts w:hint="eastAsia" w:ascii="黑体" w:hAnsi="黑体" w:eastAsia="黑体" w:cs="黑体"/>
          <w:sz w:val="36"/>
          <w:szCs w:val="36"/>
          <w:lang w:val="en-US" w:eastAsia="zh-CN"/>
        </w:rPr>
        <w:t>2022</w:t>
      </w:r>
      <w:r>
        <w:rPr>
          <w:rFonts w:hint="eastAsia" w:ascii="黑体" w:hAnsi="黑体" w:eastAsia="黑体" w:cs="黑体"/>
          <w:sz w:val="36"/>
          <w:szCs w:val="36"/>
        </w:rPr>
        <w:t>年度农贸市场改造专项经费项目自评表</w:t>
      </w:r>
    </w:p>
    <w:p>
      <w:pPr>
        <w:snapToGrid w:val="0"/>
        <w:spacing w:line="580" w:lineRule="exact"/>
        <w:rPr>
          <w:rFonts w:ascii="楷体_GB2312" w:hAnsi="楷体" w:eastAsia="楷体_GB2312" w:cs="楷体_GB2312"/>
          <w:b w:val="0"/>
          <w:bCs/>
          <w:sz w:val="28"/>
          <w:szCs w:val="28"/>
        </w:rPr>
      </w:pPr>
      <w:r>
        <w:rPr>
          <w:rFonts w:hint="eastAsia" w:ascii="楷体_GB2312" w:hAnsi="楷体" w:eastAsia="楷体_GB2312" w:cs="楷体_GB2312"/>
          <w:b w:val="0"/>
          <w:bCs/>
          <w:sz w:val="28"/>
          <w:szCs w:val="28"/>
        </w:rPr>
        <w:t xml:space="preserve">项目单位（盖章）： </w:t>
      </w:r>
      <w:r>
        <w:rPr>
          <w:rFonts w:ascii="楷体_GB2312" w:hAnsi="楷体" w:eastAsia="楷体_GB2312" w:cs="楷体_GB2312"/>
          <w:b w:val="0"/>
          <w:bCs/>
          <w:sz w:val="28"/>
          <w:szCs w:val="28"/>
        </w:rPr>
        <w:t xml:space="preserve">             </w:t>
      </w:r>
      <w:r>
        <w:rPr>
          <w:rFonts w:hint="eastAsia" w:ascii="楷体_GB2312" w:hAnsi="楷体" w:eastAsia="楷体_GB2312" w:cs="楷体_GB2312"/>
          <w:b w:val="0"/>
          <w:bCs/>
          <w:sz w:val="28"/>
          <w:szCs w:val="28"/>
        </w:rPr>
        <w:t>主要领导签字：</w:t>
      </w:r>
    </w:p>
    <w:p>
      <w:pPr>
        <w:widowControl/>
        <w:snapToGrid w:val="0"/>
        <w:spacing w:line="580" w:lineRule="exact"/>
        <w:jc w:val="left"/>
        <w:rPr>
          <w:rFonts w:hint="eastAsia" w:ascii="黑体" w:hAnsi="黑体" w:eastAsia="黑体" w:cs="黑体"/>
          <w:sz w:val="36"/>
          <w:szCs w:val="36"/>
        </w:rPr>
      </w:pPr>
      <w:r>
        <w:rPr>
          <w:rFonts w:hint="eastAsia" w:ascii="楷体_GB2312" w:hAnsi="楷体" w:eastAsia="楷体_GB2312" w:cs="楷体_GB2312"/>
          <w:b w:val="0"/>
          <w:bCs/>
          <w:sz w:val="28"/>
          <w:szCs w:val="28"/>
        </w:rPr>
        <w:t>填报日期：</w:t>
      </w:r>
      <w:r>
        <w:rPr>
          <w:rFonts w:hint="eastAsia" w:ascii="楷体_GB2312" w:hAnsi="楷体" w:eastAsia="楷体_GB2312" w:cs="楷体_GB2312"/>
          <w:b w:val="0"/>
          <w:bCs/>
          <w:sz w:val="28"/>
          <w:szCs w:val="28"/>
          <w:lang w:val="en-US" w:eastAsia="zh-CN"/>
        </w:rPr>
        <w:t>2023年6月30日</w:t>
      </w:r>
    </w:p>
    <w:tbl>
      <w:tblPr>
        <w:tblStyle w:val="5"/>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122"/>
        <w:gridCol w:w="1319"/>
        <w:gridCol w:w="923"/>
        <w:gridCol w:w="394"/>
        <w:gridCol w:w="1466"/>
        <w:gridCol w:w="334"/>
        <w:gridCol w:w="985"/>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项目名称</w:t>
            </w:r>
          </w:p>
        </w:tc>
        <w:tc>
          <w:tcPr>
            <w:tcW w:w="7420" w:type="dxa"/>
            <w:gridSpan w:val="8"/>
            <w:vAlign w:val="center"/>
          </w:tcPr>
          <w:p>
            <w:pPr>
              <w:widowControl/>
              <w:snapToGrid w:val="0"/>
              <w:jc w:val="center"/>
              <w:rPr>
                <w:rFonts w:ascii="仿宋_GB2312" w:hAnsi="宋体" w:eastAsia="仿宋_GB2312"/>
                <w:kern w:val="0"/>
              </w:rPr>
            </w:pPr>
            <w:r>
              <w:rPr>
                <w:rFonts w:hint="eastAsia" w:ascii="仿宋" w:hAnsi="仿宋" w:eastAsia="仿宋" w:cs="仿宋_GB2312"/>
                <w:kern w:val="0"/>
                <w:sz w:val="24"/>
              </w:rPr>
              <w:t>农贸市场改造专项经费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ascii="仿宋_GB2312" w:hAnsi="宋体" w:eastAsia="仿宋_GB2312"/>
                <w:kern w:val="0"/>
              </w:rPr>
            </w:pPr>
            <w:r>
              <w:rPr>
                <w:rFonts w:hint="eastAsia" w:ascii="仿宋" w:hAnsi="仿宋" w:eastAsia="仿宋" w:cs="楷体_GB2312"/>
                <w:kern w:val="0"/>
                <w:sz w:val="24"/>
              </w:rPr>
              <w:t>黄石市商务局</w:t>
            </w:r>
          </w:p>
        </w:tc>
        <w:tc>
          <w:tcPr>
            <w:tcW w:w="2194"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项目实施单位</w:t>
            </w:r>
          </w:p>
        </w:tc>
        <w:tc>
          <w:tcPr>
            <w:tcW w:w="1862" w:type="dxa"/>
            <w:gridSpan w:val="2"/>
            <w:vAlign w:val="center"/>
          </w:tcPr>
          <w:p>
            <w:pPr>
              <w:widowControl/>
              <w:snapToGrid w:val="0"/>
              <w:jc w:val="center"/>
              <w:rPr>
                <w:rFonts w:ascii="仿宋_GB2312" w:hAnsi="宋体" w:eastAsia="仿宋_GB2312"/>
                <w:kern w:val="0"/>
              </w:rPr>
            </w:pPr>
            <w:r>
              <w:rPr>
                <w:rFonts w:hint="eastAsia" w:ascii="仿宋" w:hAnsi="仿宋" w:eastAsia="仿宋" w:cs="楷体_GB2312"/>
                <w:kern w:val="0"/>
                <w:sz w:val="24"/>
              </w:rPr>
              <w:t>黄石市商务局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项目类别</w:t>
            </w:r>
          </w:p>
        </w:tc>
        <w:tc>
          <w:tcPr>
            <w:tcW w:w="7420" w:type="dxa"/>
            <w:gridSpan w:val="8"/>
            <w:vAlign w:val="center"/>
          </w:tcPr>
          <w:p>
            <w:pPr>
              <w:widowControl/>
              <w:snapToGrid w:val="0"/>
              <w:jc w:val="left"/>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 w:hAnsi="MS Mincho" w:eastAsia="宋体" w:cs="MS Mincho"/>
                <w:kern w:val="0"/>
                <w:sz w:val="24"/>
                <w:lang w:eastAsia="zh-CN"/>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、市直专项</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项目属性</w:t>
            </w:r>
          </w:p>
        </w:tc>
        <w:tc>
          <w:tcPr>
            <w:tcW w:w="7420" w:type="dxa"/>
            <w:gridSpan w:val="8"/>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项目类型</w:t>
            </w:r>
          </w:p>
        </w:tc>
        <w:tc>
          <w:tcPr>
            <w:tcW w:w="7420" w:type="dxa"/>
            <w:gridSpan w:val="8"/>
            <w:vAlign w:val="center"/>
          </w:tcPr>
          <w:p>
            <w:pPr>
              <w:widowControl/>
              <w:snapToGrid w:val="0"/>
              <w:jc w:val="left"/>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预算执行情况（万元）</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ascii="仿宋_GB2312" w:hAnsi="宋体" w:eastAsia="仿宋_GB2312" w:cs="仿宋_GB2312"/>
                <w:kern w:val="0"/>
              </w:rPr>
              <w:t>20</w:t>
            </w:r>
            <w:r>
              <w:rPr>
                <w:rFonts w:hint="eastAsia" w:ascii="仿宋_GB2312" w:hAnsi="宋体" w:eastAsia="仿宋_GB2312" w:cs="仿宋_GB2312"/>
                <w:kern w:val="0"/>
              </w:rPr>
              <w:t>分）</w:t>
            </w:r>
          </w:p>
        </w:tc>
        <w:tc>
          <w:tcPr>
            <w:tcW w:w="1122" w:type="dxa"/>
            <w:vAlign w:val="center"/>
          </w:tcPr>
          <w:p>
            <w:pPr>
              <w:widowControl/>
              <w:snapToGrid w:val="0"/>
              <w:jc w:val="center"/>
              <w:rPr>
                <w:rFonts w:ascii="仿宋_GB2312" w:hAnsi="宋体" w:eastAsia="仿宋_GB2312"/>
                <w:kern w:val="0"/>
              </w:rPr>
            </w:pP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317"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1466"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c>
          <w:tcPr>
            <w:tcW w:w="219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得分</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ascii="仿宋_GB2312" w:hAnsi="宋体" w:eastAsia="仿宋_GB2312" w:cs="仿宋_GB2312"/>
                <w:kern w:val="0"/>
              </w:rPr>
              <w:t>20</w:t>
            </w:r>
            <w:r>
              <w:rPr>
                <w:rFonts w:hint="eastAsia" w:ascii="仿宋_GB2312" w:hAnsi="宋体" w:eastAsia="仿宋_GB2312" w:cs="仿宋_GB2312"/>
                <w:kern w:val="0"/>
              </w:rPr>
              <w:t>分</w:t>
            </w:r>
            <w:r>
              <w:rPr>
                <w:rFonts w:ascii="仿宋_GB2312" w:hAnsi="宋体" w:eastAsia="仿宋_GB2312" w:cs="仿宋_GB2312"/>
                <w:kern w:val="0"/>
              </w:rPr>
              <w:t>*</w:t>
            </w:r>
            <w:r>
              <w:rPr>
                <w:rFonts w:hint="eastAsia" w:ascii="仿宋_GB2312" w:hAnsi="宋体" w:eastAsia="仿宋_GB2312"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528" w:type="dxa"/>
            <w:gridSpan w:val="2"/>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年度财政资金总额</w:t>
            </w:r>
          </w:p>
        </w:tc>
        <w:tc>
          <w:tcPr>
            <w:tcW w:w="1319"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400</w:t>
            </w:r>
          </w:p>
        </w:tc>
        <w:tc>
          <w:tcPr>
            <w:tcW w:w="1317"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400</w:t>
            </w:r>
          </w:p>
        </w:tc>
        <w:tc>
          <w:tcPr>
            <w:tcW w:w="1466"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100%</w:t>
            </w:r>
          </w:p>
        </w:tc>
        <w:tc>
          <w:tcPr>
            <w:tcW w:w="2196" w:type="dxa"/>
            <w:gridSpan w:val="3"/>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hint="eastAsia" w:ascii="仿宋_GB2312" w:hAnsi="宋体" w:eastAsia="仿宋_GB2312" w:cs="仿宋_GB2312"/>
                <w:kern w:val="0"/>
                <w:sz w:val="20"/>
                <w:szCs w:val="20"/>
                <w:lang w:val="en-US" w:eastAsia="zh-CN"/>
              </w:rPr>
              <w:t>80</w:t>
            </w:r>
            <w:r>
              <w:rPr>
                <w:rFonts w:hint="eastAsia" w:ascii="仿宋_GB2312" w:hAnsi="宋体" w:eastAsia="仿宋_GB2312" w:cs="仿宋_GB2312"/>
                <w:kern w:val="0"/>
              </w:rPr>
              <w:t>分）</w:t>
            </w:r>
          </w:p>
        </w:tc>
        <w:tc>
          <w:tcPr>
            <w:tcW w:w="700" w:type="dxa"/>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一级指标</w:t>
            </w: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二级指标</w:t>
            </w:r>
          </w:p>
        </w:tc>
        <w:tc>
          <w:tcPr>
            <w:tcW w:w="263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三级指标</w:t>
            </w:r>
          </w:p>
        </w:tc>
        <w:tc>
          <w:tcPr>
            <w:tcW w:w="1466"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319" w:type="dxa"/>
            <w:gridSpan w:val="2"/>
            <w:vAlign w:val="center"/>
          </w:tcPr>
          <w:p>
            <w:pPr>
              <w:widowControl/>
              <w:snapToGrid w:val="0"/>
              <w:jc w:val="center"/>
              <w:rPr>
                <w:rFonts w:ascii="仿宋_GB2312" w:hAnsi="宋体" w:eastAsia="仿宋_GB2312" w:cs="仿宋_GB2312"/>
                <w:kern w:val="0"/>
                <w:highlight w:val="none"/>
              </w:rPr>
            </w:pPr>
            <w:r>
              <w:rPr>
                <w:rFonts w:hint="eastAsia" w:ascii="仿宋_GB2312" w:hAnsi="宋体" w:eastAsia="仿宋_GB2312" w:cs="仿宋_GB2312"/>
                <w:kern w:val="0"/>
                <w:highlight w:val="none"/>
              </w:rPr>
              <w:t>实际完成值（</w:t>
            </w:r>
            <w:r>
              <w:rPr>
                <w:rFonts w:ascii="仿宋_GB2312" w:hAnsi="宋体" w:eastAsia="仿宋_GB2312" w:cs="仿宋_GB2312"/>
                <w:kern w:val="0"/>
                <w:highlight w:val="none"/>
              </w:rPr>
              <w:t>B</w:t>
            </w:r>
            <w:r>
              <w:rPr>
                <w:rFonts w:hint="eastAsia" w:ascii="仿宋_GB2312" w:hAnsi="宋体" w:eastAsia="仿宋_GB2312" w:cs="仿宋_GB2312"/>
                <w:kern w:val="0"/>
                <w:highlight w:val="none"/>
              </w:rPr>
              <w:t>）</w:t>
            </w:r>
          </w:p>
        </w:tc>
        <w:tc>
          <w:tcPr>
            <w:tcW w:w="877" w:type="dxa"/>
            <w:vAlign w:val="center"/>
          </w:tcPr>
          <w:p>
            <w:pPr>
              <w:widowControl/>
              <w:snapToGrid w:val="0"/>
              <w:jc w:val="center"/>
              <w:rPr>
                <w:rFonts w:ascii="仿宋_GB2312" w:hAnsi="宋体" w:eastAsia="仿宋_GB2312"/>
                <w:kern w:val="0"/>
                <w:highlight w:val="none"/>
              </w:rPr>
            </w:pPr>
            <w:r>
              <w:rPr>
                <w:rFonts w:hint="eastAsia" w:ascii="仿宋_GB2312" w:hAnsi="宋体" w:eastAsia="仿宋_GB2312" w:cs="仿宋_GB2312"/>
                <w:kern w:val="0"/>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restart"/>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产出指标</w:t>
            </w:r>
          </w:p>
        </w:tc>
        <w:tc>
          <w:tcPr>
            <w:tcW w:w="1122" w:type="dxa"/>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cs="仿宋_GB2312"/>
                <w:kern w:val="0"/>
                <w:lang w:eastAsia="zh-CN"/>
              </w:rPr>
              <w:t>数量指标</w:t>
            </w:r>
          </w:p>
        </w:tc>
        <w:tc>
          <w:tcPr>
            <w:tcW w:w="2636"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农贸市场改造数量</w:t>
            </w:r>
          </w:p>
        </w:tc>
        <w:tc>
          <w:tcPr>
            <w:tcW w:w="1466"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36</w:t>
            </w:r>
          </w:p>
        </w:tc>
        <w:tc>
          <w:tcPr>
            <w:tcW w:w="1319" w:type="dxa"/>
            <w:gridSpan w:val="2"/>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34</w:t>
            </w:r>
          </w:p>
        </w:tc>
        <w:tc>
          <w:tcPr>
            <w:tcW w:w="877"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cs="仿宋_GB2312"/>
                <w:kern w:val="0"/>
                <w:lang w:eastAsia="zh-CN"/>
              </w:rPr>
              <w:t>质量指标</w:t>
            </w:r>
          </w:p>
        </w:tc>
        <w:tc>
          <w:tcPr>
            <w:tcW w:w="2636"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市场改造工程质量达标率</w:t>
            </w:r>
          </w:p>
        </w:tc>
        <w:tc>
          <w:tcPr>
            <w:tcW w:w="1466"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100%</w:t>
            </w:r>
          </w:p>
        </w:tc>
        <w:tc>
          <w:tcPr>
            <w:tcW w:w="1319" w:type="dxa"/>
            <w:gridSpan w:val="2"/>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100%</w:t>
            </w:r>
          </w:p>
        </w:tc>
        <w:tc>
          <w:tcPr>
            <w:tcW w:w="877"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hint="eastAsia" w:ascii="仿宋_GB2312" w:hAnsi="宋体" w:eastAsia="仿宋_GB2312" w:cstheme="minorBidi"/>
                <w:kern w:val="0"/>
                <w:sz w:val="21"/>
                <w:szCs w:val="24"/>
                <w:lang w:val="en-US" w:eastAsia="zh-CN" w:bidi="ar-SA"/>
              </w:rPr>
            </w:pPr>
            <w:r>
              <w:rPr>
                <w:rFonts w:hint="eastAsia" w:ascii="仿宋_GB2312" w:hAnsi="宋体" w:eastAsia="仿宋_GB2312" w:cstheme="minorBidi"/>
                <w:kern w:val="0"/>
                <w:sz w:val="21"/>
                <w:szCs w:val="24"/>
                <w:lang w:val="en-US" w:eastAsia="zh-CN" w:bidi="ar-SA"/>
              </w:rPr>
              <w:t>时效指标</w:t>
            </w:r>
          </w:p>
        </w:tc>
        <w:tc>
          <w:tcPr>
            <w:tcW w:w="2636" w:type="dxa"/>
            <w:gridSpan w:val="3"/>
            <w:vAlign w:val="center"/>
          </w:tcPr>
          <w:p>
            <w:pPr>
              <w:widowControl/>
              <w:snapToGrid w:val="0"/>
              <w:jc w:val="center"/>
              <w:rPr>
                <w:rFonts w:hint="eastAsia" w:ascii="仿宋_GB2312" w:hAnsi="宋体" w:eastAsia="仿宋_GB2312" w:cstheme="minorBidi"/>
                <w:kern w:val="0"/>
                <w:sz w:val="21"/>
                <w:szCs w:val="24"/>
                <w:lang w:val="en-US" w:eastAsia="zh-CN" w:bidi="ar-SA"/>
              </w:rPr>
            </w:pPr>
            <w:r>
              <w:rPr>
                <w:rFonts w:hint="eastAsia" w:ascii="仿宋_GB2312" w:hAnsi="宋体" w:eastAsia="仿宋_GB2312" w:cstheme="minorBidi"/>
                <w:kern w:val="0"/>
                <w:sz w:val="21"/>
                <w:szCs w:val="24"/>
                <w:lang w:val="en-US" w:eastAsia="zh-CN" w:bidi="ar-SA"/>
              </w:rPr>
              <w:t>改造进度计划达标率</w:t>
            </w:r>
          </w:p>
        </w:tc>
        <w:tc>
          <w:tcPr>
            <w:tcW w:w="1466" w:type="dxa"/>
            <w:vAlign w:val="center"/>
          </w:tcPr>
          <w:p>
            <w:pPr>
              <w:widowControl/>
              <w:snapToGrid w:val="0"/>
              <w:jc w:val="center"/>
              <w:rPr>
                <w:rFonts w:hint="default" w:ascii="仿宋_GB2312" w:hAnsi="宋体" w:eastAsia="仿宋_GB2312" w:cstheme="minorBidi"/>
                <w:kern w:val="0"/>
                <w:sz w:val="21"/>
                <w:szCs w:val="24"/>
                <w:highlight w:val="none"/>
                <w:lang w:val="en-US" w:eastAsia="zh-CN" w:bidi="ar-SA"/>
              </w:rPr>
            </w:pPr>
            <w:r>
              <w:rPr>
                <w:rFonts w:hint="eastAsia" w:ascii="仿宋_GB2312" w:hAnsi="宋体" w:eastAsia="仿宋_GB2312" w:cstheme="minorBidi"/>
                <w:kern w:val="0"/>
                <w:sz w:val="21"/>
                <w:szCs w:val="24"/>
                <w:highlight w:val="none"/>
                <w:lang w:val="en-US" w:eastAsia="zh-CN" w:bidi="ar-SA"/>
              </w:rPr>
              <w:t>100%</w:t>
            </w:r>
          </w:p>
        </w:tc>
        <w:tc>
          <w:tcPr>
            <w:tcW w:w="1319" w:type="dxa"/>
            <w:gridSpan w:val="2"/>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100%</w:t>
            </w:r>
          </w:p>
        </w:tc>
        <w:tc>
          <w:tcPr>
            <w:tcW w:w="877"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restart"/>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效益指标</w:t>
            </w: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lang w:eastAsia="zh-CN"/>
              </w:rPr>
              <w:t>社会效益</w:t>
            </w:r>
          </w:p>
        </w:tc>
        <w:tc>
          <w:tcPr>
            <w:tcW w:w="2636"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改造市场经营认可率</w:t>
            </w:r>
          </w:p>
        </w:tc>
        <w:tc>
          <w:tcPr>
            <w:tcW w:w="1466"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rPr>
              <w:t>≧</w:t>
            </w:r>
            <w:r>
              <w:rPr>
                <w:rFonts w:hint="eastAsia" w:ascii="仿宋_GB2312" w:hAnsi="宋体" w:eastAsia="仿宋_GB2312"/>
                <w:kern w:val="0"/>
                <w:highlight w:val="none"/>
                <w:lang w:val="en-US" w:eastAsia="zh-CN"/>
              </w:rPr>
              <w:t>95%</w:t>
            </w:r>
          </w:p>
        </w:tc>
        <w:tc>
          <w:tcPr>
            <w:tcW w:w="1319" w:type="dxa"/>
            <w:gridSpan w:val="2"/>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98%</w:t>
            </w:r>
          </w:p>
        </w:tc>
        <w:tc>
          <w:tcPr>
            <w:tcW w:w="877"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both"/>
              <w:rPr>
                <w:rFonts w:ascii="仿宋_GB2312" w:hAnsi="宋体" w:eastAsia="仿宋_GB2312"/>
                <w:kern w:val="0"/>
              </w:rPr>
            </w:pPr>
            <w:r>
              <w:rPr>
                <w:rFonts w:hint="eastAsia" w:ascii="仿宋_GB2312" w:hAnsi="宋体" w:eastAsia="仿宋_GB2312"/>
                <w:kern w:val="0"/>
                <w:lang w:eastAsia="zh-CN"/>
              </w:rPr>
              <w:t>环境效益</w:t>
            </w:r>
          </w:p>
        </w:tc>
        <w:tc>
          <w:tcPr>
            <w:tcW w:w="2636" w:type="dxa"/>
            <w:gridSpan w:val="3"/>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kern w:val="0"/>
                <w:lang w:eastAsia="zh-CN"/>
              </w:rPr>
              <w:t>改造市场环境认可率</w:t>
            </w:r>
          </w:p>
        </w:tc>
        <w:tc>
          <w:tcPr>
            <w:tcW w:w="1466"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rPr>
              <w:t>≧</w:t>
            </w:r>
            <w:r>
              <w:rPr>
                <w:rFonts w:hint="eastAsia" w:ascii="仿宋_GB2312" w:hAnsi="宋体" w:eastAsia="仿宋_GB2312"/>
                <w:kern w:val="0"/>
                <w:highlight w:val="none"/>
                <w:lang w:val="en-US" w:eastAsia="zh-CN"/>
              </w:rPr>
              <w:t>95%</w:t>
            </w:r>
          </w:p>
        </w:tc>
        <w:tc>
          <w:tcPr>
            <w:tcW w:w="1319" w:type="dxa"/>
            <w:gridSpan w:val="2"/>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98%</w:t>
            </w:r>
          </w:p>
        </w:tc>
        <w:tc>
          <w:tcPr>
            <w:tcW w:w="877"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Align w:val="center"/>
          </w:tcPr>
          <w:p>
            <w:pPr>
              <w:widowControl/>
              <w:snapToGrid w:val="0"/>
              <w:jc w:val="center"/>
              <w:rPr>
                <w:rFonts w:ascii="仿宋_GB2312" w:hAnsi="宋体" w:eastAsia="仿宋_GB2312"/>
                <w:kern w:val="0"/>
              </w:rPr>
            </w:pPr>
            <w:r>
              <w:rPr>
                <w:rFonts w:hint="eastAsia" w:ascii="仿宋_GB2312" w:hAnsi="宋体" w:eastAsia="仿宋_GB2312"/>
                <w:kern w:val="0"/>
              </w:rPr>
              <w:t>满意度指标</w:t>
            </w:r>
          </w:p>
        </w:tc>
        <w:tc>
          <w:tcPr>
            <w:tcW w:w="1122"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kern w:val="0"/>
              </w:rPr>
              <w:t>服务对象满意度</w:t>
            </w:r>
            <w:r>
              <w:rPr>
                <w:rFonts w:hint="eastAsia" w:ascii="仿宋_GB2312" w:hAnsi="宋体" w:eastAsia="仿宋_GB2312" w:cs="仿宋_GB2312"/>
                <w:kern w:val="0"/>
                <w:lang w:eastAsia="zh-CN"/>
              </w:rPr>
              <w:t>指标</w:t>
            </w:r>
          </w:p>
        </w:tc>
        <w:tc>
          <w:tcPr>
            <w:tcW w:w="263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kern w:val="0"/>
              </w:rPr>
              <w:t>服务对象满意度</w:t>
            </w:r>
          </w:p>
        </w:tc>
        <w:tc>
          <w:tcPr>
            <w:tcW w:w="1466" w:type="dxa"/>
            <w:vAlign w:val="center"/>
          </w:tcPr>
          <w:p>
            <w:pPr>
              <w:widowControl/>
              <w:snapToGrid w:val="0"/>
              <w:jc w:val="center"/>
              <w:rPr>
                <w:rFonts w:ascii="仿宋_GB2312" w:hAnsi="宋体" w:eastAsia="仿宋_GB2312"/>
                <w:kern w:val="0"/>
                <w:highlight w:val="none"/>
              </w:rPr>
            </w:pPr>
            <w:r>
              <w:rPr>
                <w:rFonts w:hint="eastAsia" w:ascii="仿宋_GB2312" w:hAnsi="宋体" w:eastAsia="仿宋_GB2312"/>
                <w:kern w:val="0"/>
                <w:highlight w:val="none"/>
              </w:rPr>
              <w:t>≧95%</w:t>
            </w:r>
          </w:p>
        </w:tc>
        <w:tc>
          <w:tcPr>
            <w:tcW w:w="1319" w:type="dxa"/>
            <w:gridSpan w:val="2"/>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98%</w:t>
            </w:r>
          </w:p>
        </w:tc>
        <w:tc>
          <w:tcPr>
            <w:tcW w:w="877"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总分</w:t>
            </w:r>
          </w:p>
        </w:tc>
        <w:tc>
          <w:tcPr>
            <w:tcW w:w="8120" w:type="dxa"/>
            <w:gridSpan w:val="9"/>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0" w:hRule="atLeast"/>
          <w:jc w:val="center"/>
        </w:trPr>
        <w:tc>
          <w:tcPr>
            <w:tcW w:w="1528" w:type="dxa"/>
            <w:gridSpan w:val="2"/>
            <w:vAlign w:val="center"/>
          </w:tcPr>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偏差大或</w:t>
            </w:r>
          </w:p>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目标未完成</w:t>
            </w:r>
          </w:p>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原因分析</w:t>
            </w:r>
          </w:p>
        </w:tc>
        <w:tc>
          <w:tcPr>
            <w:tcW w:w="7420" w:type="dxa"/>
            <w:gridSpan w:val="8"/>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both"/>
              <w:textAlignment w:val="auto"/>
              <w:rPr>
                <w:rFonts w:hint="default"/>
                <w:sz w:val="21"/>
                <w:szCs w:val="21"/>
                <w:lang w:val="en-US" w:eastAsia="zh-CN"/>
              </w:rPr>
            </w:pPr>
            <w:bookmarkStart w:id="0" w:name="_GoBack"/>
            <w:r>
              <w:rPr>
                <w:rFonts w:hint="eastAsia" w:ascii="仿宋_GB2312" w:eastAsia="仿宋_GB2312"/>
                <w:color w:val="auto"/>
                <w:sz w:val="21"/>
                <w:szCs w:val="21"/>
                <w:lang w:val="en-US" w:eastAsia="zh-CN"/>
              </w:rPr>
              <w:t>根据</w:t>
            </w:r>
            <w:r>
              <w:rPr>
                <w:rFonts w:hint="eastAsia" w:ascii="仿宋_GB2312" w:hAnsi="仿宋_GB2312" w:eastAsia="仿宋_GB2312" w:cs="仿宋_GB2312"/>
                <w:color w:val="000000" w:themeColor="text1"/>
                <w:sz w:val="21"/>
                <w:szCs w:val="21"/>
                <w:shd w:val="clear" w:color="auto" w:fill="FFFFFF"/>
                <w:lang w:eastAsia="zh-CN"/>
                <w14:textFill>
                  <w14:solidFill>
                    <w14:schemeClr w14:val="tx1"/>
                  </w14:solidFill>
                </w14:textFill>
              </w:rPr>
              <w:t>《2022年黄石市城区农贸市场整治改造工作实施方案》，可</w:t>
            </w:r>
            <w:r>
              <w:rPr>
                <w:rFonts w:hint="eastAsia" w:ascii="仿宋_GB2312" w:hAnsi="仿宋" w:eastAsia="仿宋_GB2312" w:cs="仿宋"/>
                <w:color w:val="000000" w:themeColor="text1"/>
                <w:sz w:val="21"/>
                <w:szCs w:val="21"/>
                <w:u w:val="none"/>
                <w:lang w:eastAsia="zh-CN"/>
                <w14:textFill>
                  <w14:solidFill>
                    <w14:schemeClr w14:val="tx1"/>
                  </w14:solidFill>
                </w14:textFill>
              </w:rPr>
              <w:t>通过“整改一批、提升一批、转行一批、新建一批”等方式实施农贸市场改造工作，</w:t>
            </w:r>
            <w:r>
              <w:rPr>
                <w:rFonts w:hint="eastAsia" w:ascii="仿宋_GB2312" w:hAnsi="仿宋" w:eastAsia="仿宋_GB2312" w:cs="仿宋"/>
                <w:color w:val="000000" w:themeColor="text1"/>
                <w:sz w:val="21"/>
                <w:szCs w:val="21"/>
                <w:u w:val="none"/>
                <w:lang w:val="en-US" w:eastAsia="zh-CN"/>
                <w14:textFill>
                  <w14:solidFill>
                    <w14:schemeClr w14:val="tx1"/>
                  </w14:solidFill>
                </w14:textFill>
              </w:rPr>
              <w:t>2022年纳入改造的36家市场中，有1家因经营不善于2022年3月份注销，1家因经营状况较差且建筑物存在安全隐患、辖区市场已经饱和等原因于2022年9月份关停，实际完成改造市场34家。</w:t>
            </w:r>
          </w:p>
          <w:bookmarkEnd w:id="0"/>
          <w:p>
            <w:pPr>
              <w:widowControl/>
              <w:jc w:val="left"/>
              <w:rPr>
                <w:rFonts w:ascii="仿宋_GB2312" w:hAnsi="宋体" w:eastAsia="仿宋_GB2312"/>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5" w:hRule="atLeast"/>
          <w:jc w:val="center"/>
        </w:trPr>
        <w:tc>
          <w:tcPr>
            <w:tcW w:w="1528" w:type="dxa"/>
            <w:gridSpan w:val="2"/>
            <w:vAlign w:val="center"/>
          </w:tcPr>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改进措施及</w:t>
            </w:r>
          </w:p>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结果应用方案</w:t>
            </w:r>
          </w:p>
        </w:tc>
        <w:tc>
          <w:tcPr>
            <w:tcW w:w="7420" w:type="dxa"/>
            <w:gridSpan w:val="8"/>
            <w:vAlign w:val="center"/>
          </w:tcPr>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eastAsia" w:ascii="仿宋_GB2312" w:hAnsi="仿宋_GB2312" w:eastAsia="仿宋_GB2312" w:cs="仿宋_GB2312"/>
                <w:color w:val="auto"/>
                <w:sz w:val="21"/>
                <w:szCs w:val="21"/>
                <w:lang w:eastAsia="zh-CN"/>
              </w:rPr>
            </w:pPr>
            <w:r>
              <w:rPr>
                <w:rFonts w:hint="eastAsia" w:ascii="楷体" w:hAnsi="楷体" w:eastAsia="楷体" w:cs="仿宋_GB2312"/>
                <w:b/>
                <w:color w:val="auto"/>
                <w:sz w:val="21"/>
                <w:szCs w:val="21"/>
                <w:lang w:val="en-US" w:eastAsia="zh-CN"/>
              </w:rPr>
              <w:t>1、加强组织，在</w:t>
            </w:r>
            <w:r>
              <w:rPr>
                <w:rFonts w:hint="eastAsia" w:ascii="楷体" w:hAnsi="楷体" w:eastAsia="楷体" w:cs="仿宋_GB2312"/>
                <w:b/>
                <w:color w:val="auto"/>
                <w:sz w:val="21"/>
                <w:szCs w:val="21"/>
                <w:lang w:eastAsia="zh-CN"/>
              </w:rPr>
              <w:t>发挥协会自律作用上下功夫</w:t>
            </w:r>
            <w:r>
              <w:rPr>
                <w:rFonts w:hint="eastAsia" w:ascii="楷体" w:hAnsi="楷体" w:eastAsia="楷体" w:cs="仿宋_GB2312"/>
                <w:b/>
                <w:color w:val="auto"/>
                <w:sz w:val="21"/>
                <w:szCs w:val="21"/>
              </w:rPr>
              <w:t>。</w:t>
            </w:r>
            <w:r>
              <w:rPr>
                <w:rFonts w:hint="eastAsia" w:ascii="仿宋_GB2312" w:hAnsi="仿宋_GB2312" w:eastAsia="仿宋_GB2312" w:cs="仿宋_GB2312"/>
                <w:color w:val="auto"/>
                <w:sz w:val="21"/>
                <w:szCs w:val="21"/>
                <w:lang w:eastAsia="zh-CN"/>
              </w:rPr>
              <w:t>进一步发挥</w:t>
            </w:r>
            <w:r>
              <w:rPr>
                <w:rFonts w:hint="eastAsia" w:ascii="仿宋_GB2312" w:hAnsi="仿宋_GB2312" w:eastAsia="仿宋_GB2312" w:cs="仿宋_GB2312"/>
                <w:color w:val="auto"/>
                <w:sz w:val="21"/>
                <w:szCs w:val="21"/>
                <w:lang w:val="en-US" w:eastAsia="zh-CN"/>
              </w:rPr>
              <w:t>市农贸市场行业协会作用，通过协会组织行业企业考察学习先进成功经验，探索我市农贸市场经营发展新路径</w:t>
            </w: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鼓励协会独立开展树先进、立典型和会长单位一对一帮扶等活动，帮助解决市场摊位空置、产品滞销等问题，推动行业实现自律监管。</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default" w:ascii="仿宋_GB2312" w:hAnsi="仿宋_GB2312" w:eastAsia="仿宋_GB2312" w:cs="仿宋_GB2312"/>
                <w:color w:val="auto"/>
                <w:sz w:val="21"/>
                <w:szCs w:val="21"/>
                <w:lang w:val="en-US"/>
              </w:rPr>
            </w:pPr>
            <w:r>
              <w:rPr>
                <w:rFonts w:hint="eastAsia" w:ascii="楷体" w:hAnsi="楷体" w:eastAsia="楷体" w:cs="仿宋_GB2312"/>
                <w:b/>
                <w:color w:val="auto"/>
                <w:sz w:val="21"/>
                <w:szCs w:val="21"/>
                <w:lang w:val="en-US" w:eastAsia="zh-CN"/>
              </w:rPr>
              <w:t>2、</w:t>
            </w:r>
            <w:r>
              <w:rPr>
                <w:rFonts w:hint="eastAsia" w:ascii="楷体" w:hAnsi="楷体" w:eastAsia="楷体" w:cs="仿宋_GB2312"/>
                <w:b/>
                <w:color w:val="auto"/>
                <w:sz w:val="21"/>
                <w:szCs w:val="21"/>
                <w:lang w:eastAsia="zh-CN"/>
              </w:rPr>
              <w:t>优化</w:t>
            </w:r>
            <w:r>
              <w:rPr>
                <w:rFonts w:hint="eastAsia" w:ascii="楷体" w:hAnsi="楷体" w:eastAsia="楷体" w:cs="仿宋_GB2312"/>
                <w:b/>
                <w:color w:val="auto"/>
                <w:sz w:val="21"/>
                <w:szCs w:val="21"/>
                <w:lang w:val="en-US" w:eastAsia="zh-CN"/>
              </w:rPr>
              <w:t>服务，在营造一流经营环境上下功夫</w:t>
            </w:r>
            <w:r>
              <w:rPr>
                <w:rFonts w:hint="eastAsia" w:ascii="楷体" w:hAnsi="楷体" w:eastAsia="楷体" w:cs="仿宋_GB2312"/>
                <w:b/>
                <w:color w:val="auto"/>
                <w:sz w:val="21"/>
                <w:szCs w:val="21"/>
              </w:rPr>
              <w:t>。</w:t>
            </w:r>
            <w:r>
              <w:rPr>
                <w:rFonts w:hint="eastAsia" w:ascii="仿宋_GB2312" w:hAnsi="仿宋_GB2312" w:eastAsia="仿宋_GB2312" w:cs="仿宋_GB2312"/>
                <w:color w:val="auto"/>
                <w:sz w:val="21"/>
                <w:szCs w:val="21"/>
                <w:lang w:val="en-US" w:eastAsia="zh-CN"/>
              </w:rPr>
              <w:t>定期</w:t>
            </w:r>
            <w:r>
              <w:rPr>
                <w:rFonts w:hint="default" w:ascii="仿宋_GB2312" w:hAnsi="仿宋_GB2312" w:eastAsia="仿宋_GB2312" w:cs="仿宋_GB2312"/>
                <w:color w:val="auto"/>
                <w:sz w:val="21"/>
                <w:szCs w:val="21"/>
                <w:lang w:val="en" w:eastAsia="zh-CN"/>
              </w:rPr>
              <w:t>走访</w:t>
            </w:r>
            <w:r>
              <w:rPr>
                <w:rFonts w:hint="eastAsia" w:ascii="仿宋_GB2312" w:hAnsi="仿宋_GB2312" w:eastAsia="仿宋_GB2312" w:cs="仿宋_GB2312"/>
                <w:color w:val="auto"/>
                <w:sz w:val="21"/>
                <w:szCs w:val="21"/>
                <w:lang w:val="en" w:eastAsia="zh-CN"/>
              </w:rPr>
              <w:t>企业</w:t>
            </w:r>
            <w:r>
              <w:rPr>
                <w:rFonts w:hint="default" w:ascii="仿宋_GB2312" w:hAnsi="仿宋_GB2312" w:eastAsia="仿宋_GB2312" w:cs="仿宋_GB2312"/>
                <w:color w:val="auto"/>
                <w:sz w:val="21"/>
                <w:szCs w:val="21"/>
                <w:lang w:val="en" w:eastAsia="zh-CN"/>
              </w:rPr>
              <w:t>、</w:t>
            </w:r>
            <w:r>
              <w:rPr>
                <w:rFonts w:hint="eastAsia" w:ascii="仿宋_GB2312" w:hAnsi="仿宋_GB2312" w:eastAsia="仿宋_GB2312" w:cs="仿宋_GB2312"/>
                <w:color w:val="auto"/>
                <w:sz w:val="21"/>
                <w:szCs w:val="21"/>
                <w:lang w:val="en-US" w:eastAsia="zh-CN"/>
              </w:rPr>
              <w:t>收集困难问题，</w:t>
            </w:r>
            <w:r>
              <w:rPr>
                <w:rFonts w:hint="default" w:ascii="仿宋_GB2312" w:hAnsi="仿宋_GB2312" w:eastAsia="仿宋_GB2312" w:cs="仿宋_GB2312"/>
                <w:color w:val="auto"/>
                <w:sz w:val="21"/>
                <w:szCs w:val="21"/>
                <w:lang w:val="en" w:eastAsia="zh-CN"/>
              </w:rPr>
              <w:t>积极</w:t>
            </w:r>
            <w:r>
              <w:rPr>
                <w:rFonts w:hint="eastAsia" w:ascii="仿宋_GB2312" w:hAnsi="仿宋_GB2312" w:eastAsia="仿宋_GB2312" w:cs="仿宋_GB2312"/>
                <w:color w:val="auto"/>
                <w:sz w:val="21"/>
                <w:szCs w:val="21"/>
                <w:lang w:val="en-US" w:eastAsia="zh-CN"/>
              </w:rPr>
              <w:t>协调</w:t>
            </w:r>
            <w:r>
              <w:rPr>
                <w:rFonts w:hint="default" w:ascii="仿宋_GB2312" w:hAnsi="仿宋_GB2312" w:eastAsia="仿宋_GB2312" w:cs="仿宋_GB2312"/>
                <w:color w:val="auto"/>
                <w:sz w:val="21"/>
                <w:szCs w:val="21"/>
                <w:lang w:val="en" w:eastAsia="zh-CN"/>
              </w:rPr>
              <w:t>、</w:t>
            </w:r>
            <w:r>
              <w:rPr>
                <w:rFonts w:hint="eastAsia" w:ascii="仿宋_GB2312" w:hAnsi="仿宋_GB2312" w:eastAsia="仿宋_GB2312" w:cs="仿宋_GB2312"/>
                <w:color w:val="auto"/>
                <w:sz w:val="21"/>
                <w:szCs w:val="21"/>
                <w:lang w:val="en-US" w:eastAsia="zh-CN"/>
              </w:rPr>
              <w:t>妥善解决。</w:t>
            </w:r>
            <w:r>
              <w:rPr>
                <w:rFonts w:hint="default" w:ascii="仿宋_GB2312" w:hAnsi="仿宋_GB2312" w:eastAsia="仿宋_GB2312" w:cs="仿宋_GB2312"/>
                <w:color w:val="auto"/>
                <w:sz w:val="21"/>
                <w:szCs w:val="21"/>
                <w:lang w:val="en" w:eastAsia="zh-CN"/>
              </w:rPr>
              <w:t>同时</w:t>
            </w:r>
            <w:r>
              <w:rPr>
                <w:rFonts w:hint="eastAsia" w:ascii="仿宋_GB2312" w:hAnsi="仿宋_GB2312" w:eastAsia="仿宋_GB2312" w:cs="仿宋_GB2312"/>
                <w:color w:val="auto"/>
                <w:sz w:val="21"/>
                <w:szCs w:val="21"/>
                <w:lang w:val="en-US" w:eastAsia="zh-CN"/>
              </w:rPr>
              <w:t>会同各相关</w:t>
            </w:r>
            <w:r>
              <w:rPr>
                <w:rFonts w:hint="eastAsia" w:ascii="仿宋_GB2312" w:hAnsi="仿宋_GB2312" w:eastAsia="仿宋_GB2312" w:cs="仿宋_GB2312"/>
                <w:color w:val="auto"/>
                <w:sz w:val="21"/>
                <w:szCs w:val="21"/>
                <w:lang w:eastAsia="zh-CN"/>
              </w:rPr>
              <w:t>职能部门</w:t>
            </w:r>
            <w:r>
              <w:rPr>
                <w:rFonts w:hint="eastAsia" w:ascii="仿宋_GB2312" w:hAnsi="仿宋_GB2312" w:eastAsia="仿宋_GB2312" w:cs="仿宋_GB2312"/>
                <w:color w:val="auto"/>
                <w:sz w:val="21"/>
                <w:szCs w:val="21"/>
                <w:lang w:val="en-US" w:eastAsia="zh-CN"/>
              </w:rPr>
              <w:t>积极指导全市市场业主对照最新要求，转变经营理念、提升运营管理水平。</w:t>
            </w:r>
            <w:r>
              <w:rPr>
                <w:rFonts w:hint="default" w:ascii="仿宋_GB2312" w:hAnsi="仿宋_GB2312" w:eastAsia="仿宋_GB2312" w:cs="仿宋_GB2312"/>
                <w:color w:val="auto"/>
                <w:sz w:val="21"/>
                <w:szCs w:val="21"/>
                <w:lang w:val="en" w:eastAsia="zh-CN"/>
              </w:rPr>
              <w:t>主动</w:t>
            </w:r>
            <w:r>
              <w:rPr>
                <w:rFonts w:hint="eastAsia" w:ascii="仿宋_GB2312" w:hAnsi="仿宋_GB2312" w:eastAsia="仿宋_GB2312" w:cs="仿宋_GB2312"/>
                <w:color w:val="auto"/>
                <w:sz w:val="21"/>
                <w:szCs w:val="21"/>
                <w:lang w:val="en-US" w:eastAsia="zh-CN"/>
              </w:rPr>
              <w:t>配合市场监管部门开展农贸市场月底评比，推动各市场业主比学赶超、争先创优。</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default" w:ascii="仿宋_GB2312" w:hAnsi="仿宋_GB2312" w:eastAsia="仿宋_GB2312" w:cs="仿宋_GB2312"/>
                <w:b w:val="0"/>
                <w:bCs w:val="0"/>
                <w:i w:val="0"/>
                <w:iCs w:val="0"/>
                <w:color w:val="auto"/>
                <w:kern w:val="2"/>
                <w:sz w:val="21"/>
                <w:szCs w:val="21"/>
                <w:highlight w:val="none"/>
                <w:shd w:val="clear" w:color="auto" w:fill="FFFFFF"/>
                <w:vertAlign w:val="baseline"/>
                <w:lang w:val="en" w:eastAsia="zh-CN" w:bidi="ar-SA"/>
              </w:rPr>
            </w:pPr>
            <w:r>
              <w:rPr>
                <w:rFonts w:hint="eastAsia" w:ascii="楷体" w:hAnsi="楷体" w:eastAsia="楷体" w:cs="仿宋_GB2312"/>
                <w:b/>
                <w:color w:val="auto"/>
                <w:sz w:val="21"/>
                <w:szCs w:val="21"/>
                <w:lang w:val="en-US" w:eastAsia="zh-CN"/>
              </w:rPr>
              <w:t>3、完善链条，在畅通市场流通体系上下功夫。</w:t>
            </w:r>
            <w:r>
              <w:rPr>
                <w:rFonts w:hint="eastAsia" w:ascii="仿宋_GB2312" w:hAnsi="仿宋_GB2312" w:eastAsia="仿宋_GB2312" w:cs="仿宋_GB2312"/>
                <w:color w:val="auto"/>
                <w:sz w:val="21"/>
                <w:szCs w:val="21"/>
                <w:lang w:val="en-US" w:eastAsia="zh-CN"/>
              </w:rPr>
              <w:t>将农贸市场</w:t>
            </w:r>
            <w:r>
              <w:rPr>
                <w:rFonts w:hint="default" w:ascii="仿宋_GB2312" w:hAnsi="仿宋_GB2312" w:eastAsia="仿宋_GB2312" w:cs="仿宋_GB2312"/>
                <w:color w:val="auto"/>
                <w:sz w:val="21"/>
                <w:szCs w:val="21"/>
                <w:lang w:val="en" w:eastAsia="zh-CN"/>
              </w:rPr>
              <w:t>渠道畅通、种类丰富</w:t>
            </w:r>
            <w:r>
              <w:rPr>
                <w:rFonts w:hint="eastAsia" w:ascii="仿宋_GB2312" w:hAnsi="仿宋_GB2312" w:eastAsia="仿宋_GB2312" w:cs="仿宋_GB2312"/>
                <w:color w:val="auto"/>
                <w:sz w:val="21"/>
                <w:szCs w:val="21"/>
                <w:lang w:val="en-US" w:eastAsia="zh-CN"/>
              </w:rPr>
              <w:t>作为解决我市民生问题的重要切入点，</w:t>
            </w:r>
            <w:r>
              <w:rPr>
                <w:rFonts w:hint="default" w:ascii="仿宋_GB2312" w:hAnsi="仿宋_GB2312" w:eastAsia="仿宋_GB2312" w:cs="仿宋_GB2312"/>
                <w:color w:val="auto"/>
                <w:sz w:val="21"/>
                <w:szCs w:val="21"/>
                <w:lang w:val="en" w:eastAsia="zh-CN"/>
              </w:rPr>
              <w:t>主动</w:t>
            </w:r>
            <w:r>
              <w:rPr>
                <w:rFonts w:hint="eastAsia" w:ascii="仿宋_GB2312" w:hAnsi="仿宋_GB2312" w:eastAsia="仿宋_GB2312" w:cs="仿宋_GB2312"/>
                <w:color w:val="auto"/>
                <w:sz w:val="21"/>
                <w:szCs w:val="21"/>
                <w:lang w:val="en-US" w:eastAsia="zh-CN"/>
              </w:rPr>
              <w:t>协调</w:t>
            </w:r>
            <w:r>
              <w:rPr>
                <w:rFonts w:hint="default" w:ascii="仿宋_GB2312" w:hAnsi="仿宋_GB2312" w:eastAsia="仿宋_GB2312" w:cs="仿宋_GB2312"/>
                <w:color w:val="auto"/>
                <w:sz w:val="21"/>
                <w:szCs w:val="21"/>
                <w:lang w:val="en" w:eastAsia="zh-CN"/>
              </w:rPr>
              <w:t>我</w:t>
            </w:r>
            <w:r>
              <w:rPr>
                <w:rFonts w:hint="eastAsia" w:ascii="仿宋_GB2312" w:hAnsi="仿宋_GB2312" w:eastAsia="仿宋_GB2312" w:cs="仿宋_GB2312"/>
                <w:color w:val="auto"/>
                <w:sz w:val="21"/>
                <w:szCs w:val="21"/>
                <w:lang w:val="en-US" w:eastAsia="zh-CN"/>
              </w:rPr>
              <w:t>市</w:t>
            </w:r>
            <w:r>
              <w:rPr>
                <w:rFonts w:hint="default" w:ascii="仿宋_GB2312" w:hAnsi="仿宋_GB2312" w:eastAsia="仿宋_GB2312" w:cs="仿宋_GB2312"/>
                <w:color w:val="auto"/>
                <w:sz w:val="21"/>
                <w:szCs w:val="21"/>
                <w:lang w:val="en" w:eastAsia="zh-CN"/>
              </w:rPr>
              <w:t>农批</w:t>
            </w:r>
            <w:r>
              <w:rPr>
                <w:rFonts w:hint="eastAsia" w:ascii="仿宋_GB2312" w:hAnsi="仿宋_GB2312" w:eastAsia="仿宋_GB2312" w:cs="仿宋_GB2312"/>
                <w:color w:val="auto"/>
                <w:sz w:val="21"/>
                <w:szCs w:val="21"/>
                <w:lang w:val="en-US" w:eastAsia="zh-CN"/>
              </w:rPr>
              <w:t>市场与农贸市场</w:t>
            </w:r>
            <w:r>
              <w:rPr>
                <w:rFonts w:hint="default" w:ascii="仿宋_GB2312" w:hAnsi="仿宋_GB2312" w:eastAsia="仿宋_GB2312" w:cs="仿宋_GB2312"/>
                <w:color w:val="auto"/>
                <w:sz w:val="21"/>
                <w:szCs w:val="21"/>
                <w:lang w:val="en" w:eastAsia="zh-CN"/>
              </w:rPr>
              <w:t>对接</w:t>
            </w:r>
            <w:r>
              <w:rPr>
                <w:rFonts w:hint="eastAsia" w:ascii="仿宋_GB2312" w:hAnsi="仿宋_GB2312" w:eastAsia="仿宋_GB2312" w:cs="仿宋_GB2312"/>
                <w:color w:val="auto"/>
                <w:sz w:val="21"/>
                <w:szCs w:val="21"/>
                <w:lang w:val="en-US" w:eastAsia="zh-CN"/>
              </w:rPr>
              <w:t>，引入数字化采购模式，</w:t>
            </w:r>
            <w:r>
              <w:rPr>
                <w:rFonts w:hint="default" w:ascii="仿宋_GB2312" w:hAnsi="仿宋_GB2312" w:eastAsia="仿宋_GB2312" w:cs="仿宋_GB2312"/>
                <w:color w:val="auto"/>
                <w:sz w:val="21"/>
                <w:szCs w:val="21"/>
                <w:lang w:val="en" w:eastAsia="zh-CN"/>
              </w:rPr>
              <w:t>畅通农产品产业链上下游通道，</w:t>
            </w:r>
            <w:r>
              <w:rPr>
                <w:rFonts w:hint="eastAsia" w:ascii="仿宋_GB2312" w:hAnsi="仿宋_GB2312" w:eastAsia="仿宋_GB2312" w:cs="仿宋_GB2312"/>
                <w:color w:val="auto"/>
                <w:sz w:val="21"/>
                <w:szCs w:val="21"/>
                <w:lang w:val="en" w:eastAsia="zh-CN"/>
              </w:rPr>
              <w:t>千方百计</w:t>
            </w:r>
            <w:r>
              <w:rPr>
                <w:rFonts w:hint="default" w:ascii="仿宋_GB2312" w:hAnsi="仿宋_GB2312" w:eastAsia="仿宋_GB2312" w:cs="仿宋_GB2312"/>
                <w:color w:val="auto"/>
                <w:sz w:val="21"/>
                <w:szCs w:val="21"/>
                <w:lang w:val="en" w:eastAsia="zh-CN"/>
              </w:rPr>
              <w:t>降低终端零售菜价，</w:t>
            </w:r>
            <w:r>
              <w:rPr>
                <w:rFonts w:hint="eastAsia" w:ascii="仿宋_GB2312" w:hAnsi="仿宋_GB2312" w:eastAsia="仿宋_GB2312" w:cs="仿宋_GB2312"/>
                <w:color w:val="auto"/>
                <w:sz w:val="21"/>
                <w:szCs w:val="21"/>
                <w:lang w:val="en" w:eastAsia="zh-CN"/>
              </w:rPr>
              <w:t>提升老百姓的幸福感和满意度</w:t>
            </w:r>
            <w:r>
              <w:rPr>
                <w:rFonts w:hint="eastAsia" w:ascii="仿宋_GB2312" w:hAnsi="仿宋_GB2312" w:eastAsia="仿宋_GB2312" w:cs="仿宋_GB2312"/>
                <w:color w:val="auto"/>
                <w:sz w:val="21"/>
                <w:szCs w:val="21"/>
                <w:lang w:val="en-US" w:eastAsia="zh-CN"/>
              </w:rPr>
              <w:t>。</w:t>
            </w:r>
          </w:p>
          <w:p>
            <w:pPr>
              <w:widowControl/>
              <w:jc w:val="left"/>
              <w:rPr>
                <w:rFonts w:ascii="仿宋_GB2312" w:hAnsi="宋体" w:eastAsia="仿宋_GB2312"/>
                <w:kern w:val="0"/>
                <w:highlight w:val="none"/>
              </w:rPr>
            </w:pPr>
          </w:p>
        </w:tc>
      </w:tr>
    </w:tbl>
    <w:p>
      <w:pPr>
        <w:widowControl/>
        <w:rPr>
          <w:rFonts w:ascii="仿宋_GB2312" w:hAnsi="宋体" w:eastAsia="仿宋_GB2312"/>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预算执行情况口径：预算数为调整后财政资金总额（包括上年结余结转），执行数为资金使用单位财政资金实际支出数。涉及政府采购的项目支出要设置相关绩效指标反映政府采购管理情况。</w:t>
      </w:r>
    </w:p>
    <w:p>
      <w:pPr>
        <w:widowControl/>
        <w:ind w:firstLine="420" w:firstLineChars="200"/>
        <w:rPr>
          <w:rFonts w:ascii="仿宋_GB2312" w:hAnsi="宋体" w:eastAsia="仿宋_GB2312"/>
          <w:kern w:val="0"/>
        </w:rPr>
      </w:pPr>
      <w:r>
        <w:rPr>
          <w:rFonts w:ascii="仿宋_GB2312" w:hAnsi="宋体" w:eastAsia="仿宋_GB2312" w:cs="仿宋_GB2312"/>
          <w:kern w:val="0"/>
        </w:rPr>
        <w:t>2.</w:t>
      </w:r>
      <w:r>
        <w:rPr>
          <w:rFonts w:hint="eastAsia" w:ascii="仿宋_GB2312" w:hAnsi="宋体" w:eastAsia="仿宋_GB2312" w:cs="仿宋_GB2312"/>
          <w:kern w:val="0"/>
        </w:rPr>
        <w:t>定量指标完成数汇总原则：绝对值直接累加计算，相对值按照资金额度加权平均计算。定量指标计分原则：正向指标（即目标值为≥</w:t>
      </w:r>
      <w:r>
        <w:rPr>
          <w:rFonts w:ascii="仿宋_GB2312" w:hAnsi="宋体" w:eastAsia="仿宋_GB2312" w:cs="仿宋_GB2312"/>
          <w:kern w:val="0"/>
        </w:rPr>
        <w:t>X,</w:t>
      </w:r>
      <w:r>
        <w:rPr>
          <w:rFonts w:hint="eastAsia" w:ascii="仿宋_GB2312" w:hAnsi="宋体" w:eastAsia="仿宋_GB2312" w:cs="仿宋_GB2312"/>
          <w:kern w:val="0"/>
        </w:rPr>
        <w:t>得分</w:t>
      </w:r>
      <w:r>
        <w:rPr>
          <w:rFonts w:ascii="仿宋_GB2312" w:hAnsi="宋体" w:eastAsia="仿宋_GB2312" w:cs="仿宋_GB2312"/>
          <w:kern w:val="0"/>
        </w:rPr>
        <w:t>=</w:t>
      </w:r>
      <w:r>
        <w:rPr>
          <w:rFonts w:hint="eastAsia" w:ascii="仿宋_GB2312" w:hAnsi="宋体" w:eastAsia="仿宋_GB2312" w:cs="仿宋_GB2312"/>
          <w:kern w:val="0"/>
        </w:rPr>
        <w:t>权重</w:t>
      </w:r>
      <w:r>
        <w:rPr>
          <w:rFonts w:ascii="仿宋_GB2312" w:hAnsi="宋体" w:eastAsia="仿宋_GB2312" w:cs="仿宋_GB2312"/>
          <w:kern w:val="0"/>
        </w:rPr>
        <w:t>*B/A</w:t>
      </w:r>
      <w:r>
        <w:rPr>
          <w:rFonts w:hint="eastAsia" w:ascii="仿宋_GB2312" w:hAnsi="宋体" w:eastAsia="仿宋_GB2312" w:cs="仿宋_GB2312"/>
          <w:kern w:val="0"/>
        </w:rPr>
        <w:t>），反向指标（即目标值为≤</w:t>
      </w:r>
      <w:r>
        <w:rPr>
          <w:rFonts w:ascii="仿宋_GB2312" w:hAnsi="宋体" w:eastAsia="仿宋_GB2312" w:cs="仿宋_GB2312"/>
          <w:kern w:val="0"/>
        </w:rPr>
        <w:t>X</w:t>
      </w:r>
      <w:r>
        <w:rPr>
          <w:rFonts w:hint="eastAsia" w:ascii="仿宋_GB2312" w:hAnsi="宋体" w:eastAsia="仿宋_GB2312" w:cs="仿宋_GB2312"/>
          <w:kern w:val="0"/>
        </w:rPr>
        <w:t>，得分</w:t>
      </w:r>
      <w:r>
        <w:rPr>
          <w:rFonts w:ascii="仿宋_GB2312" w:hAnsi="宋体" w:eastAsia="仿宋_GB2312" w:cs="仿宋_GB2312"/>
          <w:kern w:val="0"/>
        </w:rPr>
        <w:t>=</w:t>
      </w:r>
      <w:r>
        <w:rPr>
          <w:rFonts w:hint="eastAsia" w:ascii="仿宋_GB2312" w:hAnsi="宋体" w:eastAsia="仿宋_GB2312" w:cs="仿宋_GB2312"/>
          <w:kern w:val="0"/>
        </w:rPr>
        <w:t>权重</w:t>
      </w:r>
      <w:r>
        <w:rPr>
          <w:rFonts w:ascii="仿宋_GB2312" w:hAnsi="宋体" w:eastAsia="仿宋_GB2312" w:cs="仿宋_GB2312"/>
          <w:kern w:val="0"/>
        </w:rPr>
        <w:t>*A/B）</w:t>
      </w:r>
      <w:r>
        <w:rPr>
          <w:rFonts w:hint="eastAsia" w:ascii="仿宋_GB2312" w:hAnsi="宋体" w:eastAsia="仿宋_GB2312" w:cs="仿宋_GB2312"/>
          <w:kern w:val="0"/>
        </w:rPr>
        <w:t>，得分不得突破权重总额。定量指标先汇总完成数，再计算得分。</w:t>
      </w:r>
    </w:p>
    <w:p>
      <w:pPr>
        <w:widowControl/>
        <w:ind w:firstLine="420" w:firstLineChars="200"/>
        <w:rPr>
          <w:rFonts w:ascii="仿宋_GB2312" w:hAnsi="宋体" w:eastAsia="仿宋_GB2312"/>
          <w:kern w:val="0"/>
        </w:rPr>
      </w:pPr>
      <w:r>
        <w:rPr>
          <w:rFonts w:ascii="仿宋_GB2312" w:hAnsi="宋体" w:eastAsia="仿宋_GB2312" w:cs="仿宋_GB2312"/>
          <w:kern w:val="0"/>
        </w:rPr>
        <w:t>3.</w:t>
      </w:r>
      <w:r>
        <w:rPr>
          <w:rFonts w:hint="eastAsia" w:ascii="仿宋_GB2312" w:hAnsi="宋体" w:eastAsia="仿宋_GB2312" w:cs="仿宋_GB2312"/>
          <w:kern w:val="0"/>
        </w:rPr>
        <w:t>定性指标计分原则：达成预期指标、部分达成预期指标并具有一定效果、未达成预期指标且效果较差三档，分别按照该指标对应分值区间</w:t>
      </w:r>
      <w:r>
        <w:rPr>
          <w:rFonts w:ascii="仿宋_GB2312" w:hAnsi="宋体" w:eastAsia="仿宋_GB2312" w:cs="仿宋_GB2312"/>
          <w:kern w:val="0"/>
        </w:rPr>
        <w:t>100-80%</w:t>
      </w:r>
      <w:r>
        <w:rPr>
          <w:rFonts w:hint="eastAsia" w:ascii="仿宋_GB2312" w:hAnsi="宋体" w:eastAsia="仿宋_GB2312" w:cs="仿宋_GB2312"/>
          <w:kern w:val="0"/>
        </w:rPr>
        <w:t>（含</w:t>
      </w:r>
      <w:r>
        <w:rPr>
          <w:rFonts w:ascii="仿宋_GB2312" w:hAnsi="宋体" w:eastAsia="仿宋_GB2312" w:cs="仿宋_GB2312"/>
          <w:kern w:val="0"/>
        </w:rPr>
        <w:t>80%</w:t>
      </w:r>
      <w:r>
        <w:rPr>
          <w:rFonts w:hint="eastAsia" w:ascii="仿宋_GB2312" w:hAnsi="宋体" w:eastAsia="仿宋_GB2312" w:cs="仿宋_GB2312"/>
          <w:kern w:val="0"/>
        </w:rPr>
        <w:t>）、</w:t>
      </w:r>
      <w:r>
        <w:rPr>
          <w:rFonts w:ascii="仿宋_GB2312" w:hAnsi="宋体" w:eastAsia="仿宋_GB2312" w:cs="仿宋_GB2312"/>
          <w:kern w:val="0"/>
        </w:rPr>
        <w:t>80-50%</w:t>
      </w:r>
      <w:r>
        <w:rPr>
          <w:rFonts w:hint="eastAsia" w:ascii="仿宋_GB2312" w:hAnsi="宋体" w:eastAsia="仿宋_GB2312" w:cs="仿宋_GB2312"/>
          <w:kern w:val="0"/>
        </w:rPr>
        <w:t>（含</w:t>
      </w:r>
      <w:r>
        <w:rPr>
          <w:rFonts w:ascii="仿宋_GB2312" w:hAnsi="宋体" w:eastAsia="仿宋_GB2312" w:cs="仿宋_GB2312"/>
          <w:kern w:val="0"/>
        </w:rPr>
        <w:t>50%</w:t>
      </w:r>
      <w:r>
        <w:rPr>
          <w:rFonts w:hint="eastAsia" w:ascii="仿宋_GB2312" w:hAnsi="宋体" w:eastAsia="仿宋_GB2312" w:cs="仿宋_GB2312"/>
          <w:kern w:val="0"/>
        </w:rPr>
        <w:t>）、</w:t>
      </w:r>
      <w:r>
        <w:rPr>
          <w:rFonts w:ascii="仿宋_GB2312" w:hAnsi="宋体" w:eastAsia="仿宋_GB2312" w:cs="仿宋_GB2312"/>
          <w:kern w:val="0"/>
        </w:rPr>
        <w:t>50-0%</w:t>
      </w:r>
      <w:r>
        <w:rPr>
          <w:rFonts w:hint="eastAsia" w:ascii="仿宋_GB2312" w:hAnsi="宋体" w:eastAsia="仿宋_GB2312" w:cs="仿宋_GB2312"/>
          <w:kern w:val="0"/>
        </w:rPr>
        <w:t>合理确定分值。汇总时，以资金额度为权重，对分值进行加权平均计算。</w:t>
      </w:r>
    </w:p>
    <w:p>
      <w:pPr>
        <w:rPr>
          <w:rFonts w:ascii="仿宋_GB2312" w:hAnsi="宋体" w:eastAsia="仿宋_GB2312" w:cs="仿宋_GB2312"/>
          <w:kern w:val="0"/>
        </w:rPr>
      </w:pPr>
      <w:r>
        <w:rPr>
          <w:rFonts w:ascii="仿宋_GB2312" w:hAnsi="宋体" w:eastAsia="仿宋_GB2312" w:cs="仿宋_GB2312"/>
          <w:kern w:val="0"/>
        </w:rPr>
        <w:t>4.</w:t>
      </w:r>
      <w:r>
        <w:rPr>
          <w:rFonts w:hint="eastAsia" w:ascii="仿宋_GB2312" w:hAnsi="宋体" w:eastAsia="仿宋_GB2312" w:cs="仿宋_GB2312"/>
          <w:kern w:val="0"/>
        </w:rPr>
        <w:t>基于经济性和必要性等因素考虑，满意度指标暂可不作为必评指标。</w:t>
      </w:r>
    </w:p>
    <w:p>
      <w:pPr>
        <w:rPr>
          <w:rFonts w:hint="eastAsia" w:ascii="仿宋_GB2312" w:hAnsi="宋体" w:eastAsia="仿宋_GB2312" w:cs="仿宋_GB2312"/>
          <w:kern w:val="0"/>
        </w:rPr>
      </w:pPr>
      <w:r>
        <w:rPr>
          <w:rFonts w:hint="eastAsia" w:ascii="仿宋_GB2312" w:hAnsi="宋体" w:eastAsia="仿宋_GB2312" w:cs="仿宋_GB2312"/>
          <w:kern w:val="0"/>
        </w:rPr>
        <w:t>5.涉及政府采购的项目支出应设置相关政府采购指标。</w:t>
      </w:r>
    </w:p>
    <w:p>
      <w:pPr>
        <w:rPr>
          <w:rFonts w:hint="eastAsia" w:ascii="仿宋_GB2312" w:hAnsi="宋体" w:eastAsia="仿宋_GB2312" w:cs="仿宋_GB2312"/>
          <w:kern w:val="0"/>
        </w:rPr>
      </w:pPr>
    </w:p>
    <w:sectPr>
      <w:pgSz w:w="11906" w:h="16838"/>
      <w:pgMar w:top="1644" w:right="1644" w:bottom="164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kMzdiZmYzZDExMDc1NzM5YWM0NWQyMzY3YjEwOTQifQ=="/>
  </w:docVars>
  <w:rsids>
    <w:rsidRoot w:val="005875AC"/>
    <w:rsid w:val="002D671C"/>
    <w:rsid w:val="003340AF"/>
    <w:rsid w:val="003F5028"/>
    <w:rsid w:val="005875AC"/>
    <w:rsid w:val="00613417"/>
    <w:rsid w:val="00B32C0C"/>
    <w:rsid w:val="00D13234"/>
    <w:rsid w:val="00D65302"/>
    <w:rsid w:val="00E9709F"/>
    <w:rsid w:val="00FF3F65"/>
    <w:rsid w:val="06BC0D27"/>
    <w:rsid w:val="119118AF"/>
    <w:rsid w:val="12387D34"/>
    <w:rsid w:val="13E862FB"/>
    <w:rsid w:val="347B14FC"/>
    <w:rsid w:val="37574B14"/>
    <w:rsid w:val="3DA41A92"/>
    <w:rsid w:val="3FF222BC"/>
    <w:rsid w:val="411F4E39"/>
    <w:rsid w:val="50675076"/>
    <w:rsid w:val="52F92630"/>
    <w:rsid w:val="60380F23"/>
    <w:rsid w:val="67472B3E"/>
    <w:rsid w:val="69C36846"/>
    <w:rsid w:val="77682A52"/>
    <w:rsid w:val="78EF05E7"/>
    <w:rsid w:val="7ACE5AC8"/>
    <w:rsid w:val="7FE943B5"/>
    <w:rsid w:val="F76EA390"/>
    <w:rsid w:val="FFBF8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spacing w:before="0" w:after="120"/>
      <w:ind w:left="0" w:right="0"/>
      <w:jc w:val="both"/>
    </w:pPr>
    <w:rPr>
      <w:rFonts w:ascii="Calibri" w:hAnsi="Calibri" w:eastAsia="宋体" w:cs="宋体"/>
      <w:kern w:val="2"/>
      <w:sz w:val="21"/>
      <w:szCs w:val="24"/>
      <w:lang w:val="en-US" w:eastAsia="zh-CN" w:bidi="ar-S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0"/>
    <w:rPr>
      <w:kern w:val="2"/>
      <w:sz w:val="18"/>
      <w:szCs w:val="18"/>
    </w:rPr>
  </w:style>
  <w:style w:type="character" w:customStyle="1" w:styleId="9">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1275</Words>
  <Characters>1369</Characters>
  <Lines>23</Lines>
  <Paragraphs>6</Paragraphs>
  <TotalTime>22</TotalTime>
  <ScaleCrop>false</ScaleCrop>
  <LinksUpToDate>false</LinksUpToDate>
  <CharactersWithSpaces>1421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111</dc:creator>
  <cp:lastModifiedBy>程丹</cp:lastModifiedBy>
  <cp:lastPrinted>2023-07-07T06:08:48Z</cp:lastPrinted>
  <dcterms:modified xsi:type="dcterms:W3CDTF">2023-07-07T06:10:49Z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EFBD3572B91F4036819091361D9765E9</vt:lpwstr>
  </property>
</Properties>
</file>