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5"/>
        <w:rPr>
          <w:rFonts w:hint="eastAsia" w:eastAsia="宋体"/>
          <w:color w:val="auto"/>
          <w:lang w:eastAsia="zh-CN"/>
        </w:rPr>
      </w:pPr>
      <w:r>
        <w:rPr>
          <w:rFonts w:ascii="Times New Roman"/>
          <w:color w:val="auto"/>
        </w:rPr>
        <w:t>ICS</w:t>
      </w:r>
      <w:r>
        <w:rPr>
          <w:rFonts w:hint="eastAsia" w:ascii="MS Mincho" w:hAnsi="MS Mincho" w:eastAsia="MS Mincho" w:cs="MS Mincho"/>
          <w:color w:val="auto"/>
        </w:rPr>
        <w:t> </w:t>
      </w:r>
      <w:r>
        <w:rPr>
          <w:rFonts w:hint="eastAsia"/>
          <w:color w:val="auto"/>
          <w:lang w:val="en-US" w:eastAsia="zh-CN"/>
        </w:rPr>
        <w:t xml:space="preserve">03.080.01 </w:t>
      </w:r>
    </w:p>
    <w:p>
      <w:pPr>
        <w:pStyle w:val="135"/>
        <w:rPr>
          <w:rFonts w:hint="default" w:eastAsia="黑体"/>
          <w:color w:val="auto"/>
          <w:lang w:val="en-US" w:eastAsia="zh-CN"/>
        </w:rPr>
      </w:pPr>
      <w:r>
        <w:rPr>
          <w:rFonts w:hint="eastAsia"/>
          <w:color w:val="auto"/>
          <w:lang w:val="en-US" w:eastAsia="zh-CN"/>
        </w:rPr>
        <w:t>CCS A 16</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5"/>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6fDnRECAAAuBAAADgAAAGRycy9lMm9Eb2MueG1srVPBjtow&#10;EL1X6j9YvpcQxAIbEVYURFtp26607QcYxyFWHY87NgT69R07QOn2sofmEHk84+f33oznD8fWsINC&#10;r8GWPB8MOVNWQqXtruTfv23ezTjzQdhKGLCq5Cfl+cPi7Zt55wo1ggZMpZARiPVF50rehOCKLPOy&#10;Ua3wA3DKUrIGbEWgEHdZhaIj9NZko+FwknWAlUOQynvaXfdJfkbE1wBCXWup1iD3rbKhR0VlRCBJ&#10;vtHO80ViW9dKhq917VVgpuSkNKQ/XULrbfxni7kodihco+WZgngNhReaWqEtXXqFWosg2B71P1Ct&#10;lgge6jCQ0Ga9kOQIqciHL7x5boRTSQtZ7d3VdP//YOWXwxMyXZV8wpkVLTX8/fJjtKVzvqDss3vC&#10;KMy7R5A/PLOwaoTdqSUidI0SFZHJY33214EYeDrKtt1nqAhV7AMkh441thGQtLNjasTp2gh1DEzS&#10;5mwymU7vOJOUyu9n+Sg1KhPF5bBDHz4oaFlclBypzwlcHB59iGREcSlJ5MHoaqONSQHutiuD7CBo&#10;JjbpS/xJ422ZsbHYQjzWI/Y7Kk3V+ZqLzN6uLVQnkozQjxk9Mlo0gL8462jESu5/7gUqzswnS7bd&#10;5+NxnMkUjO+mpJLhbWZ7mxFWElTJA2f9chX6Od471LuGbsqTBRaWZHWtkw2RX8/q3CAao+TOeeTj&#10;nN7GqerPM1/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uL+zVAAAABwEAAA8AAAAAAAAAAQAg&#10;AAAAIgAAAGRycy9kb3ducmV2LnhtbFBLAQIUABQAAAAIAIdO4kAXp8OdEQIAAC4EAAAOAAAAAAAA&#10;AAEAIAAAACQBAABkcnMvZTJvRG9jLnhtbFBLBQYAAAAABgAGAFkBAACnBQAAAAA=&#10;">
                      <v:fill on="t" focussize="0,0"/>
                      <v:stroke on="f"/>
                      <v:imagedata o:title=""/>
                      <o:lock v:ext="edit" aspectratio="f"/>
                    </v:rect>
                  </w:pict>
                </mc:Fallback>
              </mc:AlternateContent>
            </w:r>
          </w:p>
        </w:tc>
      </w:tr>
    </w:tbl>
    <w:p>
      <w:pPr>
        <w:pStyle w:val="134"/>
        <w:wordWrap w:val="0"/>
        <w:rPr>
          <w:color w:val="auto"/>
          <w:sz w:val="84"/>
          <w:szCs w:val="84"/>
        </w:rPr>
      </w:pPr>
      <w:r>
        <w:rPr>
          <w:rFonts w:hint="eastAsia"/>
          <w:color w:val="auto"/>
          <w:sz w:val="84"/>
          <w:szCs w:val="84"/>
        </w:rPr>
        <w:t>DB42</w:t>
      </w:r>
    </w:p>
    <w:p>
      <w:pPr>
        <w:pStyle w:val="101"/>
        <w:rPr>
          <w:rFonts w:ascii="Times New Roman" w:hAnsi="Times New Roman"/>
          <w:color w:val="auto"/>
        </w:rPr>
      </w:pPr>
      <w:r>
        <w:rPr>
          <w:rFonts w:hint="eastAsia"/>
          <w:color w:val="auto"/>
          <w:szCs w:val="48"/>
          <w:lang w:eastAsia="zh-CN"/>
        </w:rPr>
        <w:t>湖北省</w:t>
      </w:r>
      <w:r>
        <w:rPr>
          <w:rFonts w:hint="eastAsia"/>
          <w:color w:val="auto"/>
          <w:szCs w:val="48"/>
        </w:rPr>
        <w:t>地方标</w:t>
      </w:r>
      <w:r>
        <w:rPr>
          <w:rFonts w:hint="eastAsia" w:ascii="Times New Roman" w:hAnsi="Times New Roman"/>
          <w:color w:val="auto"/>
          <w:szCs w:val="48"/>
        </w:rPr>
        <w:t>准</w:t>
      </w:r>
    </w:p>
    <w:p>
      <w:pPr>
        <w:pStyle w:val="105"/>
        <w:wordWrap w:val="0"/>
        <w:outlineLvl w:val="0"/>
        <w:rPr>
          <w:rFonts w:hint="eastAsia" w:hAnsi="黑体" w:eastAsia="黑体"/>
          <w:color w:val="auto"/>
          <w:lang w:val="en-US" w:eastAsia="zh-CN"/>
        </w:rPr>
      </w:pPr>
      <w:bookmarkStart w:id="0" w:name="_Toc31238"/>
      <w:bookmarkStart w:id="1" w:name="_Toc2607"/>
      <w:bookmarkStart w:id="2" w:name="_Toc865"/>
      <w:bookmarkStart w:id="3" w:name="_Toc9576"/>
      <w:bookmarkStart w:id="4" w:name="_Toc7906"/>
      <w:bookmarkStart w:id="5" w:name="_Toc27973"/>
      <w:r>
        <w:rPr>
          <w:rFonts w:hint="eastAsia" w:ascii="Times New Roman"/>
          <w:color w:val="auto"/>
        </w:rPr>
        <w:t>DB42/T</w:t>
      </w:r>
      <w:r>
        <w:rPr>
          <w:rFonts w:hint="eastAsia" w:hAnsi="黑体"/>
          <w:color w:val="auto"/>
        </w:rPr>
        <w:t xml:space="preserve"> </w:t>
      </w:r>
      <w:r>
        <w:rPr>
          <w:rFonts w:hint="eastAsia" w:hAnsi="黑体"/>
          <w:color w:val="auto"/>
          <w:highlight w:val="none"/>
          <w:lang w:val="en-US" w:eastAsia="zh-CN"/>
        </w:rPr>
        <w:t>xxxx</w:t>
      </w:r>
      <w:r>
        <w:rPr>
          <w:rFonts w:hAnsi="黑体"/>
          <w:color w:val="auto"/>
        </w:rPr>
        <w:t>—</w:t>
      </w:r>
      <w:r>
        <w:rPr>
          <w:rFonts w:hint="eastAsia" w:hAnsi="黑体"/>
          <w:color w:val="auto"/>
        </w:rPr>
        <w:t>202</w:t>
      </w:r>
      <w:r>
        <w:rPr>
          <w:rFonts w:hint="eastAsia" w:hAnsi="黑体"/>
          <w:color w:val="auto"/>
          <w:lang w:val="en-US" w:eastAsia="zh-CN"/>
        </w:rPr>
        <w:t>4</w:t>
      </w:r>
      <w:bookmarkEnd w:id="0"/>
      <w:bookmarkEnd w:id="1"/>
      <w:bookmarkEnd w:id="2"/>
      <w:bookmarkEnd w:id="3"/>
      <w:bookmarkEnd w:id="4"/>
      <w:bookmarkEnd w:id="5"/>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9"/>
              <w:rPr>
                <w:color w:val="auto"/>
                <w:lang w:val="fr-CA"/>
              </w:rPr>
            </w:pPr>
            <w:bookmarkStart w:id="6" w:name="DT"/>
            <w:r>
              <w:rPr>
                <w:color w:val="auto"/>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9jvpYNAgAALgQAAA4AAABkcnMvZTJvRG9jLnhtbK1TwW7b&#10;MAy9D9g/CLovtrO064w4RZEgw4BuK9DuAxRZtoXJokYpcbqvHyU7WdZdepgPBilSj3yP1PL22Bt2&#10;UOg12IoXs5wzZSXU2rYV//60fXfDmQ/C1sKAVRV/Vp7frt6+WQ6uVHPowNQKGYFYXw6u4l0Irswy&#10;LzvVCz8DpywFG8BeBHKxzWoUA6H3Jpvn+XU2ANYOQSrv6XQzBvmEiK8BhKbRUm1A7ntlw4iKyohA&#10;lHynneer1G3TKBm+NY1XgZmKE9OQ/lSE7F38Z6ulKFsUrtNyakG8poUXnHqhLRU9Q21EEGyP+h+o&#10;XksED02YSeizkUhShFgU+QttHjvhVOJCUnt3Ft3/P1j59fCATNcVv+LMip4GvnmKqgzOlxR8dA8Y&#10;eXl3D/KHZxbWnbCtukOEoVOipl6KmJ/9dSE6nq6y3fAFagIV+wBJoGODfQQk6uyY5vB8noM6Bibp&#10;sCgW7/OcRiQpNp/fXJMdS4jydNuhD58U9CwaFUeac0IXh3sfxtRTSuoejK632pjkYLtbG2QHQTux&#10;Td+E7i/TjI3JFuK1EXE8UWmrpjInnqNeO6ifiTPCuGb0yMjoAH9xNtCKVdz/3AtUnJnPlnT7WCwW&#10;cSeTs7j6MC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PY76WDQIAAC4EAAAOAAAAAAAAAAEA&#10;IAAAACUBAABkcnMvZTJvRG9jLnhtbFBLBQYAAAAABgAGAFkBAACkBQAAAAA=&#10;">
                      <v:fill on="t" focussize="0,0"/>
                      <v:stroke on="f"/>
                      <v:imagedata o:title=""/>
                      <o:lock v:ext="edit" aspectratio="f"/>
                    </v:rect>
                  </w:pict>
                </mc:Fallback>
              </mc:AlternateContent>
            </w:r>
            <w:bookmarkEnd w:id="6"/>
          </w:p>
        </w:tc>
      </w:tr>
    </w:tbl>
    <w:p>
      <w:pPr>
        <w:pStyle w:val="105"/>
        <w:rPr>
          <w:rFonts w:hAnsi="黑体"/>
          <w:color w:val="auto"/>
          <w:lang w:val="fr-CA"/>
        </w:rPr>
      </w:pPr>
    </w:p>
    <w:p>
      <w:pPr>
        <w:pStyle w:val="105"/>
        <w:rPr>
          <w:rFonts w:hAnsi="黑体"/>
          <w:color w:val="auto"/>
          <w:lang w:val="fr-CA"/>
        </w:rPr>
      </w:pPr>
    </w:p>
    <w:p>
      <w:pPr>
        <w:pStyle w:val="59"/>
        <w:spacing w:line="240" w:lineRule="auto"/>
        <w:outlineLvl w:val="0"/>
        <w:rPr>
          <w:rFonts w:hint="default" w:ascii="黑体" w:eastAsia="黑体"/>
          <w:color w:val="auto"/>
          <w:sz w:val="52"/>
          <w:szCs w:val="20"/>
          <w:lang w:val="en-US" w:eastAsia="zh-CN"/>
        </w:rPr>
      </w:pPr>
      <w:bookmarkStart w:id="7" w:name="_Toc28663"/>
      <w:bookmarkStart w:id="8" w:name="_Toc15424"/>
      <w:bookmarkStart w:id="9" w:name="_Toc15945"/>
      <w:bookmarkStart w:id="10" w:name="_Toc22160"/>
      <w:bookmarkStart w:id="11" w:name="_Toc11535"/>
      <w:bookmarkStart w:id="12" w:name="_Toc11596"/>
      <w:r>
        <w:rPr>
          <w:rFonts w:hint="eastAsia" w:ascii="黑体" w:eastAsia="黑体"/>
          <w:color w:val="auto"/>
          <w:sz w:val="52"/>
          <w:szCs w:val="20"/>
          <w:lang w:val="en-US" w:eastAsia="zh-CN"/>
        </w:rPr>
        <w:t>放心早餐店建设与经营服务规范</w:t>
      </w:r>
      <w:bookmarkEnd w:id="7"/>
      <w:bookmarkEnd w:id="8"/>
      <w:bookmarkEnd w:id="9"/>
      <w:bookmarkEnd w:id="10"/>
      <w:bookmarkEnd w:id="11"/>
      <w:bookmarkEnd w:id="12"/>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8"/>
              <w:rPr>
                <w:color w:val="auto"/>
              </w:rPr>
            </w:pPr>
            <w:r>
              <w:rPr>
                <w:rFonts w:hint="eastAsia" w:ascii="Times New Roman" w:eastAsia="黑体"/>
                <w:color w:val="auto"/>
                <w:lang w:val="en-US" w:eastAsia="zh-CN"/>
              </w:rPr>
              <w:t xml:space="preserve">Specification for </w:t>
            </w:r>
            <w:r>
              <w:rPr>
                <w:rFonts w:hint="eastAsia" w:ascii="Times New Roman" w:eastAsia="黑体"/>
                <w:color w:val="auto"/>
              </w:rPr>
              <w:t xml:space="preserve">the reliable breakfast shop construction and </w:t>
            </w:r>
            <w:r>
              <w:rPr>
                <w:rFonts w:hint="eastAsia" w:ascii="Times New Roman" w:eastAsia="黑体"/>
                <w:color w:val="auto"/>
                <w:lang w:val="en-US" w:eastAsia="zh-CN"/>
              </w:rPr>
              <w:t>m</w:t>
            </w:r>
            <w:bookmarkStart w:id="69" w:name="_GoBack"/>
            <w:bookmarkEnd w:id="69"/>
            <w:r>
              <w:rPr>
                <w:rFonts w:hint="eastAsia" w:ascii="Times New Roman" w:eastAsia="黑体"/>
                <w:color w:val="auto"/>
                <w:lang w:val="en-US" w:eastAsia="zh-CN"/>
              </w:rPr>
              <w:t>anagement</w:t>
            </w:r>
            <w:r>
              <w:rPr>
                <w:rFonts w:hint="eastAsia" w:ascii="Times New Roman" w:eastAsia="黑体"/>
                <w:color w:val="auto"/>
              </w:rPr>
              <w:t xml:space="preserve"> service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7"/>
              <w:rPr>
                <w:rFonts w:hint="eastAsia" w:eastAsia="宋体"/>
                <w:color w:val="auto"/>
                <w:lang w:val="en-US" w:eastAsia="zh-CN"/>
              </w:rPr>
            </w:pPr>
            <w:r>
              <w:rPr>
                <w:rFonts w:hint="eastAsia"/>
                <w:color w:val="auto"/>
                <w:lang w:val="en-US" w:eastAsia="zh-CN"/>
              </w:rPr>
              <w:t>（征求意见稿）</w:t>
            </w:r>
          </w:p>
        </w:tc>
      </w:tr>
    </w:tbl>
    <w:p>
      <w:pPr>
        <w:pStyle w:val="94"/>
        <w:framePr w:hAnchor="page" w:x="1324" w:y="14082"/>
        <w:rPr>
          <w:color w:val="auto"/>
        </w:rPr>
      </w:pPr>
      <w:r>
        <w:rPr>
          <w:rFonts w:hint="eastAsia" w:ascii="黑体"/>
          <w:color w:val="auto"/>
        </w:rPr>
        <w:t>XXXX</w:t>
      </w:r>
      <w:r>
        <w:rPr>
          <w:color w:val="auto"/>
        </w:rPr>
        <w:t xml:space="preserve"> </w:t>
      </w:r>
      <w:r>
        <w:rPr>
          <w:rFonts w:ascii="黑体"/>
          <w:color w:val="auto"/>
        </w:rPr>
        <w:t>-</w:t>
      </w:r>
      <w:r>
        <w:rPr>
          <w:color w:val="auto"/>
        </w:rPr>
        <w:t xml:space="preserve"> </w:t>
      </w:r>
      <w:r>
        <w:rPr>
          <w:rFonts w:hint="eastAsia" w:ascii="黑体"/>
          <w:color w:val="auto"/>
        </w:rPr>
        <w:t>XX</w:t>
      </w:r>
      <w:r>
        <w:rPr>
          <w:rFonts w:ascii="黑体"/>
          <w:color w:val="auto"/>
        </w:rPr>
        <w:t>-</w:t>
      </w:r>
      <w:r>
        <w:rPr>
          <w:rFonts w:hint="eastAsia" w:ascii="黑体"/>
          <w:color w:val="auto"/>
        </w:rPr>
        <w:t>XX</w:t>
      </w:r>
      <w:r>
        <w:rPr>
          <w:rFonts w:hint="eastAsia"/>
          <w:color w:val="auto"/>
        </w:rPr>
        <w:t>发布</w:t>
      </w:r>
      <w:r>
        <w:rPr>
          <w:color w:val="auto"/>
        </w:rPr>
        <mc:AlternateContent>
          <mc:Choice Requires="wps">
            <w:drawing>
              <wp:anchor distT="0" distB="0" distL="114300" distR="114300" simplePos="0" relativeHeight="251662336" behindDoc="0" locked="1" layoutInCell="1" allowOverlap="1">
                <wp:simplePos x="0" y="0"/>
                <wp:positionH relativeFrom="column">
                  <wp:posOffset>-97790</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7pt;margin-top:728.5pt;height:0pt;width:481.9pt;mso-position-vertical-relative:page;z-index:251662336;mso-width-relative:page;mso-height-relative:page;" filled="f" stroked="t" coordsize="21600,21600" o:gfxdata="UEsDBAoAAAAAAIdO4kAAAAAAAAAAAAAAAAAEAAAAZHJzL1BLAwQUAAAACACHTuJARgt+RtcAAAAN&#10;AQAADwAAAGRycy9kb3ducmV2LnhtbE2PvU7DQBCEeyTe4bRINFFy5+BAMD6nANzRJIBoN/ZiW/j2&#10;HN/lB56epUBQ7syn2Zl8dXK9OtAYOs8WkpkBRVz5uuPGwstzOV2CChG5xt4zWfikAKvi/CzHrPZH&#10;XtNhExslIRwytNDGOGRah6olh2HmB2Lx3v3oMMo5Nroe8SjhrtdzY661w47lQ4sD3bdUfWz2zkIo&#10;X2lXfk2qiXm7ajzNdw9Pj2jt5UVi7kBFOsU/GH7qS3UopNPW77kOqrcwTRapoGKkixtZJchtuhRp&#10;+yvpItf/VxTfUEsDBBQAAAAIAIdO4kDVOnbF3AEAALADAAAOAAAAZHJzL2Uyb0RvYy54bWytU0tu&#10;GzEM3RfoHQTt67FdJGgHHmdhI92krYEkB6A1Go9QSRRE2WOfpdfoqpseJ9coJX+appssOgtBFMlH&#10;vkfO7GbvrNjpSAZ9IyejsRTaK2yN3zTy8eH23QcpKIFvwaLXjTxokjfzt29mQ6j1FHu0rY6CQTzV&#10;Q2hkn1Koq4pUrx3QCIP27OwwOkhsxk3VRhgY3dlqOh5fVwPGNkRUmohfl0enPCHG1wBi1xmll6i2&#10;Tvt0RI3aQmJK1JtAcl667Tqt0teuI52EbSQzTeXkInxf57Oaz6DeRAi9UacW4DUtvODkwHgueoFa&#10;QgKxjeYfKGdURMIujRS66kikKMIsJuMX2tz3EHThwlJTuIhO/w9WfdmtojBtI6dSeHA88KfvP55+&#10;/hKTIs4QqOaYhV/FTE/t/X24Q/WNhMdFD36jS5MPh8CZkyxn9VdKNihwifXwGVuOgW3CotS+iy5D&#10;sgZiXwZyuAxE75NQ/Hg9YVXe86zU2VdBfU4MkdInjU7kSyOt8VkrqGF3Ryk3AvU5JD97vDXWlnlb&#10;L4ZGfryaXpUEQmva7MxhFDfrhY1iB3ljyldYsed5WMStb49FrM95uizbqfKZdV5DqtfYHlbxLA0P&#10;svR2Wrq8Kc/tIuCfH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YLfkbXAAAADQEAAA8AAAAA&#10;AAAAAQAgAAAAIgAAAGRycy9kb3ducmV2LnhtbFBLAQIUABQAAAAIAIdO4kDVOnbF3AEAALADAAAO&#10;AAAAAAAAAAEAIAAAACYBAABkcnMvZTJvRG9jLnhtbFBLBQYAAAAABgAGAFkBAAB0BQAAAAA=&#10;">
                <v:fill on="f" focussize="0,0"/>
                <v:stroke color="#000000" joinstyle="round"/>
                <v:imagedata o:title=""/>
                <o:lock v:ext="edit" aspectratio="f"/>
                <w10:anchorlock/>
              </v:line>
            </w:pict>
          </mc:Fallback>
        </mc:AlternateContent>
      </w:r>
    </w:p>
    <w:p>
      <w:pPr>
        <w:pStyle w:val="48"/>
        <w:framePr w:hAnchor="page" w:x="6464" w:y="14016"/>
        <w:rPr>
          <w:color w:val="auto"/>
        </w:rPr>
      </w:pPr>
      <w:r>
        <w:rPr>
          <w:rFonts w:hint="eastAsia" w:ascii="黑体"/>
          <w:color w:val="auto"/>
        </w:rPr>
        <w:t>XXXX</w:t>
      </w:r>
      <w:r>
        <w:rPr>
          <w:color w:val="auto"/>
        </w:rPr>
        <w:t xml:space="preserve"> </w:t>
      </w:r>
      <w:r>
        <w:rPr>
          <w:rFonts w:ascii="黑体"/>
          <w:color w:val="auto"/>
        </w:rPr>
        <w:t>-</w:t>
      </w:r>
      <w:r>
        <w:rPr>
          <w:rFonts w:hint="eastAsia" w:ascii="黑体"/>
          <w:color w:val="auto"/>
        </w:rPr>
        <w:t>XX</w:t>
      </w:r>
      <w:r>
        <w:rPr>
          <w:rFonts w:ascii="黑体"/>
          <w:color w:val="auto"/>
        </w:rPr>
        <w:t>-</w:t>
      </w:r>
      <w:r>
        <w:rPr>
          <w:rFonts w:hint="eastAsia" w:ascii="黑体"/>
          <w:color w:val="auto"/>
        </w:rPr>
        <w:t>XX</w:t>
      </w:r>
      <w:r>
        <w:rPr>
          <w:rFonts w:hint="eastAsia"/>
          <w:color w:val="auto"/>
        </w:rPr>
        <w:t>实施</w:t>
      </w:r>
    </w:p>
    <w:p>
      <w:pPr>
        <w:pStyle w:val="111"/>
        <w:ind w:firstLine="1254" w:firstLineChars="300"/>
        <w:jc w:val="left"/>
        <w:rPr>
          <w:rFonts w:hint="default"/>
          <w:color w:val="auto"/>
          <w:lang w:val="en-US" w:eastAsia="zh-CN"/>
        </w:rPr>
      </w:pPr>
      <w:r>
        <w:rPr>
          <w:rFonts w:hint="eastAsia"/>
          <w:color w:val="auto"/>
          <w:lang w:val="en-US" w:eastAsia="zh-CN"/>
        </w:rPr>
        <w:t>湖  北 省  商 务 厅</w:t>
      </w:r>
    </w:p>
    <w:p>
      <w:pPr>
        <w:pStyle w:val="111"/>
        <w:rPr>
          <w:color w:val="auto"/>
        </w:rPr>
      </w:pPr>
      <w:r>
        <w:rPr>
          <w:rFonts w:hint="eastAsia"/>
          <w:color w:val="auto"/>
          <w:lang w:eastAsia="zh-CN"/>
        </w:rPr>
        <w:t>湖北省</w:t>
      </w:r>
      <w:r>
        <w:rPr>
          <w:rFonts w:hint="eastAsia"/>
          <w:color w:val="auto"/>
        </w:rPr>
        <w:t>市场监督管理局</w:t>
      </w:r>
      <w:r>
        <w:rPr>
          <w:rFonts w:hint="eastAsia" w:ascii="MS Mincho" w:hAnsi="MS Mincho" w:eastAsia="MS Mincho" w:cs="MS Mincho"/>
          <w:color w:val="auto"/>
        </w:rPr>
        <w:t>  </w:t>
      </w:r>
      <w:r>
        <w:rPr>
          <w:rStyle w:val="44"/>
          <w:rFonts w:hint="eastAsia"/>
          <w:color w:val="auto"/>
        </w:rPr>
        <w:t>发布</w:t>
      </w:r>
    </w:p>
    <w:p>
      <w:pPr>
        <w:pStyle w:val="22"/>
        <w:rPr>
          <w:color w:val="auto"/>
        </w:rPr>
        <w:sectPr>
          <w:headerReference r:id="rId4" w:type="first"/>
          <w:footerReference r:id="rId5" w:type="first"/>
          <w:headerReference r:id="rId3" w:type="even"/>
          <w:pgSz w:w="11906" w:h="16838"/>
          <w:pgMar w:top="567" w:right="850" w:bottom="1134" w:left="1418" w:header="0" w:footer="0" w:gutter="0"/>
          <w:pgNumType w:start="1"/>
          <w:cols w:space="720" w:num="1"/>
          <w:docGrid w:type="lines" w:linePitch="312" w:charSpace="0"/>
        </w:sectPr>
      </w:pPr>
      <w:r>
        <w:rPr>
          <w:color w:val="auto"/>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R8v/Y2wEAALADAAAOAAAAZHJzL2Uyb0RvYy54bWytU8Fu&#10;2zAMvQ/YPwi6L44ztNiMOD0k6C7dFqDtByiybAuTREFUYudb9hs77bLP6W+MkpNs7S49zAdBIh8f&#10;yUd6eTNaww4qoAZX83I250w5CY12Xc0fH27ffeAMo3CNMOBUzY8K+c3q7Zvl4Cu1gB5MowIjEofV&#10;4Gvex+irokDZKytwBl45crYQrIj0DF3RBDEQuzXFYj6/LgYIjQ8gFSJZN5OTnxjDawihbbVUG5B7&#10;q1ycWIMyIlJL2GuPfJWrbVsl49e2RRWZqTl1GvNJSei+S2exWoqqC8L3Wp5KEK8p4UVPVmhHSS9U&#10;GxEF2wf9D5XVMgBCG2cSbDE1khWhLsr5C23ue+FV7oWkRn8RHf8frfxy2AamG9oEzpywNPCn7z+e&#10;fv5iZZnEGTxWhFm7bUjtydHd+zuQ35A5WPfCdSoX+XD0FJkjimch6YGeUuyGz9AQRuwjZKXGNthE&#10;SRqwMQ/keBmIGiOTZLwuSZX3NCt59hWiOgf6gPGTAsvSpeZGu6SVqMThDiOVTtAzJJkd3Gpj8ryN&#10;Y0PNP14trnIAgtFNciYYhm63NoEdRNqY/CUdiOwZLMDeNZPduBSn8rKdMp+7nvTbQXPchgROdhpk&#10;pjstXdqUv98Z9edH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BHy/9jbAQAAsAMAAA4A&#10;AAAAAAAAAQAgAAAAJgEAAGRycy9lMm9Eb2MueG1sUEsFBgAAAAAGAAYAWQEAAHMFAAAAAA==&#10;">
                <v:fill on="f" focussize="0,0"/>
                <v:stroke color="#000000" joinstyle="round"/>
                <v:imagedata o:title=""/>
                <o:lock v:ext="edit" aspectratio="f"/>
              </v:line>
            </w:pict>
          </mc:Fallback>
        </mc:AlternateContent>
      </w:r>
    </w:p>
    <w:p>
      <w:pPr>
        <w:pStyle w:val="79"/>
        <w:rPr>
          <w:color w:val="auto"/>
        </w:rPr>
      </w:pPr>
      <w:bookmarkStart w:id="13" w:name="_Toc9381"/>
      <w:bookmarkStart w:id="14" w:name="_Toc12249"/>
      <w:bookmarkStart w:id="15" w:name="_Toc863"/>
      <w:bookmarkStart w:id="16" w:name="_Toc2657"/>
      <w:bookmarkStart w:id="17" w:name="_Toc24575"/>
      <w:bookmarkStart w:id="18" w:name="_Toc13746"/>
      <w:bookmarkStart w:id="19" w:name="_Toc6359"/>
      <w:bookmarkStart w:id="20" w:name="_Toc15533"/>
      <w:r>
        <w:rPr>
          <w:rFonts w:hint="eastAsia"/>
          <w:color w:val="auto"/>
        </w:rPr>
        <w:t>目</w:t>
      </w:r>
      <w:bookmarkStart w:id="21" w:name="BKML"/>
      <w:r>
        <w:rPr>
          <w:rFonts w:hAnsi="黑体"/>
          <w:color w:val="auto"/>
        </w:rPr>
        <w:t>  </w:t>
      </w:r>
      <w:r>
        <w:rPr>
          <w:rFonts w:hint="eastAsia"/>
          <w:color w:val="auto"/>
        </w:rPr>
        <w:t>次</w:t>
      </w:r>
      <w:bookmarkEnd w:id="13"/>
      <w:bookmarkEnd w:id="14"/>
      <w:bookmarkEnd w:id="15"/>
      <w:bookmarkEnd w:id="16"/>
      <w:bookmarkEnd w:id="17"/>
      <w:bookmarkEnd w:id="21"/>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 \* MERGEFORMAT</w:instrText>
      </w:r>
      <w:r>
        <w:rPr>
          <w:color w:val="auto"/>
        </w:rPr>
        <w:instrText xml:space="preserve"> </w:instrText>
      </w:r>
      <w:r>
        <w:rPr>
          <w:color w:val="auto"/>
        </w:rPr>
        <w:fldChar w:fldCharType="separate"/>
      </w:r>
      <w:bookmarkEnd w:id="18"/>
      <w:bookmarkEnd w:id="19"/>
      <w:bookmarkEnd w:id="20"/>
    </w:p>
    <w:p>
      <w:pPr>
        <w:pStyle w:val="22"/>
        <w:ind w:firstLine="0" w:firstLineChars="0"/>
        <w:rPr>
          <w:color w:val="auto"/>
        </w:rPr>
      </w:pPr>
      <w:r>
        <w:rPr>
          <w:color w:val="auto"/>
        </w:rPr>
        <w:fldChar w:fldCharType="end"/>
      </w:r>
    </w:p>
    <w:sdt>
      <w:sdtPr>
        <w:rPr>
          <w:rFonts w:ascii="宋体" w:hAnsi="宋体" w:eastAsia="宋体" w:cs="Times New Roman"/>
          <w:color w:val="auto"/>
          <w:kern w:val="2"/>
          <w:sz w:val="21"/>
          <w:szCs w:val="24"/>
          <w:lang w:val="en-US" w:eastAsia="zh-CN" w:bidi="ar-SA"/>
        </w:rPr>
        <w:id w:val="147470353"/>
        <w15:color w:val="DBDBDB"/>
        <w:docPartObj>
          <w:docPartGallery w:val="Table of Contents"/>
          <w:docPartUnique/>
        </w:docPartObj>
      </w:sdtPr>
      <w:sdtEndPr>
        <w:rPr>
          <w:rFonts w:ascii="宋体" w:hAnsi="宋体"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color w:val="auto"/>
            </w:rPr>
          </w:pPr>
          <w:r>
            <w:rPr>
              <w:color w:val="auto"/>
            </w:rPr>
            <w:fldChar w:fldCharType="begin"/>
          </w:r>
          <w:r>
            <w:rPr>
              <w:color w:val="auto"/>
            </w:rPr>
            <w:instrText xml:space="preserve">TOC \o "1-2" \h \u </w:instrText>
          </w:r>
          <w:r>
            <w:rPr>
              <w:color w:val="auto"/>
            </w:rPr>
            <w:fldChar w:fldCharType="separate"/>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_Toc14197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前言</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_Toc14197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II</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_Toc9079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rPr>
            <w:t xml:space="preserve">1 </w:t>
          </w:r>
          <w:r>
            <w:rPr>
              <w:rFonts w:hint="eastAsia" w:asciiTheme="minorEastAsia" w:hAnsiTheme="minorEastAsia" w:eastAsiaTheme="minorEastAsia" w:cstheme="minorEastAsia"/>
              <w:b w:val="0"/>
              <w:bCs/>
              <w:color w:val="auto"/>
              <w:sz w:val="21"/>
              <w:szCs w:val="21"/>
            </w:rPr>
            <w:t>范围</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_Toc9079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_Toc1039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rPr>
            <w:t xml:space="preserve">2 </w:t>
          </w:r>
          <w:r>
            <w:rPr>
              <w:rFonts w:hint="eastAsia" w:asciiTheme="minorEastAsia" w:hAnsiTheme="minorEastAsia" w:eastAsiaTheme="minorEastAsia" w:cstheme="minorEastAsia"/>
              <w:b w:val="0"/>
              <w:bCs/>
              <w:color w:val="auto"/>
              <w:sz w:val="21"/>
              <w:szCs w:val="21"/>
            </w:rPr>
            <w:t>规范性引用文件</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_Toc1039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_Toc31353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lang w:val="en-US" w:eastAsia="zh-CN"/>
            </w:rPr>
            <w:t xml:space="preserve">3 </w:t>
          </w:r>
          <w:r>
            <w:rPr>
              <w:rFonts w:hint="eastAsia" w:asciiTheme="minorEastAsia" w:hAnsiTheme="minorEastAsia" w:eastAsiaTheme="minorEastAsia" w:cstheme="minorEastAsia"/>
              <w:b w:val="0"/>
              <w:bCs/>
              <w:color w:val="auto"/>
              <w:sz w:val="21"/>
              <w:szCs w:val="21"/>
            </w:rPr>
            <w:t>术语和定义</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_Toc31353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_Toc27862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lang w:val="en-US" w:eastAsia="zh-CN"/>
            </w:rPr>
            <w:t xml:space="preserve">4 </w:t>
          </w:r>
          <w:r>
            <w:rPr>
              <w:rFonts w:hint="eastAsia" w:asciiTheme="minorEastAsia" w:hAnsiTheme="minorEastAsia" w:eastAsiaTheme="minorEastAsia" w:cstheme="minorEastAsia"/>
              <w:b w:val="0"/>
              <w:bCs/>
              <w:color w:val="auto"/>
              <w:sz w:val="21"/>
              <w:szCs w:val="21"/>
              <w:lang w:val="en-US" w:eastAsia="zh-CN"/>
            </w:rPr>
            <w:t>建设要求</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_Toc27862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_Toc31329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4.1 </w:t>
          </w:r>
          <w:r>
            <w:rPr>
              <w:rFonts w:hint="eastAsia" w:asciiTheme="minorEastAsia" w:hAnsiTheme="minorEastAsia" w:eastAsiaTheme="minorEastAsia" w:cstheme="minorEastAsia"/>
              <w:b w:val="0"/>
              <w:bCs/>
              <w:color w:val="auto"/>
              <w:sz w:val="21"/>
              <w:szCs w:val="21"/>
              <w:highlight w:val="none"/>
              <w:lang w:val="en-US" w:eastAsia="zh-CN"/>
            </w:rPr>
            <w:t>选址</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_Toc31329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_Toc13200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4.2 </w:t>
          </w:r>
          <w:r>
            <w:rPr>
              <w:rFonts w:hint="eastAsia" w:asciiTheme="minorEastAsia" w:hAnsiTheme="minorEastAsia" w:eastAsiaTheme="minorEastAsia" w:cstheme="minorEastAsia"/>
              <w:b w:val="0"/>
              <w:bCs/>
              <w:color w:val="auto"/>
              <w:sz w:val="21"/>
              <w:szCs w:val="21"/>
              <w:highlight w:val="none"/>
              <w:lang w:val="en-US" w:eastAsia="zh-CN"/>
            </w:rPr>
            <w:t>建筑设计</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_Toc13200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_Toc29572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4.3 </w:t>
          </w:r>
          <w:r>
            <w:rPr>
              <w:rFonts w:hint="eastAsia" w:asciiTheme="minorEastAsia" w:hAnsiTheme="minorEastAsia" w:eastAsiaTheme="minorEastAsia" w:cstheme="minorEastAsia"/>
              <w:b w:val="0"/>
              <w:bCs/>
              <w:color w:val="auto"/>
              <w:sz w:val="21"/>
              <w:szCs w:val="21"/>
              <w:highlight w:val="none"/>
              <w:lang w:val="en-US" w:eastAsia="zh-CN"/>
            </w:rPr>
            <w:t>区域设计</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_Toc29572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_Toc32338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lang w:val="en-US" w:eastAsia="zh-CN"/>
            </w:rPr>
            <w:t xml:space="preserve">5 </w:t>
          </w:r>
          <w:r>
            <w:rPr>
              <w:rFonts w:hint="eastAsia" w:asciiTheme="minorEastAsia" w:hAnsiTheme="minorEastAsia" w:eastAsiaTheme="minorEastAsia" w:cstheme="minorEastAsia"/>
              <w:b w:val="0"/>
              <w:bCs/>
              <w:color w:val="auto"/>
              <w:sz w:val="21"/>
              <w:szCs w:val="21"/>
              <w:highlight w:val="none"/>
              <w:lang w:val="en-US" w:eastAsia="zh-CN"/>
            </w:rPr>
            <w:t>经营服务</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_Toc32338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4</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_Toc5719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5.1 </w:t>
          </w:r>
          <w:r>
            <w:rPr>
              <w:rFonts w:hint="eastAsia" w:asciiTheme="minorEastAsia" w:hAnsiTheme="minorEastAsia" w:eastAsiaTheme="minorEastAsia" w:cstheme="minorEastAsia"/>
              <w:b w:val="0"/>
              <w:bCs/>
              <w:color w:val="auto"/>
              <w:sz w:val="21"/>
              <w:szCs w:val="21"/>
              <w:highlight w:val="none"/>
              <w:lang w:val="en-US" w:eastAsia="zh-CN"/>
            </w:rPr>
            <w:t>基本要求</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_Toc5719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4</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_Toc7085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5.2 </w:t>
          </w:r>
          <w:r>
            <w:rPr>
              <w:rFonts w:hint="eastAsia" w:asciiTheme="minorEastAsia" w:hAnsiTheme="minorEastAsia" w:eastAsiaTheme="minorEastAsia" w:cstheme="minorEastAsia"/>
              <w:b w:val="0"/>
              <w:bCs/>
              <w:color w:val="auto"/>
              <w:sz w:val="21"/>
              <w:szCs w:val="21"/>
              <w:highlight w:val="none"/>
              <w:lang w:val="en-US" w:eastAsia="zh-CN"/>
            </w:rPr>
            <w:t>人员要求</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_Toc7085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4</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_Toc32616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5.3 </w:t>
          </w:r>
          <w:r>
            <w:rPr>
              <w:rFonts w:hint="eastAsia" w:asciiTheme="minorEastAsia" w:hAnsiTheme="minorEastAsia" w:eastAsiaTheme="minorEastAsia" w:cstheme="minorEastAsia"/>
              <w:b w:val="0"/>
              <w:bCs/>
              <w:color w:val="auto"/>
              <w:sz w:val="21"/>
              <w:szCs w:val="21"/>
              <w:highlight w:val="none"/>
              <w:lang w:val="en-US" w:eastAsia="zh-CN"/>
            </w:rPr>
            <w:t>店内外环境要求</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_Toc32616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5</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_Toc9521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5.4 </w:t>
          </w:r>
          <w:r>
            <w:rPr>
              <w:rFonts w:hint="eastAsia" w:asciiTheme="minorEastAsia" w:hAnsiTheme="minorEastAsia" w:eastAsiaTheme="minorEastAsia" w:cstheme="minorEastAsia"/>
              <w:b w:val="0"/>
              <w:bCs/>
              <w:color w:val="auto"/>
              <w:sz w:val="21"/>
              <w:szCs w:val="21"/>
              <w:highlight w:val="none"/>
              <w:lang w:val="en-US" w:eastAsia="zh-CN"/>
            </w:rPr>
            <w:t>原料管理</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_Toc9521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5</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_Toc31837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5.5 </w:t>
          </w:r>
          <w:r>
            <w:rPr>
              <w:rFonts w:hint="eastAsia" w:asciiTheme="minorEastAsia" w:hAnsiTheme="minorEastAsia" w:eastAsiaTheme="minorEastAsia" w:cstheme="minorEastAsia"/>
              <w:b w:val="0"/>
              <w:bCs/>
              <w:color w:val="auto"/>
              <w:sz w:val="21"/>
              <w:szCs w:val="21"/>
              <w:highlight w:val="none"/>
              <w:lang w:val="en-US" w:eastAsia="zh-CN"/>
            </w:rPr>
            <w:t>加工制作</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_Toc31837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6</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_Toc10994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5.6 </w:t>
          </w:r>
          <w:r>
            <w:rPr>
              <w:rFonts w:hint="eastAsia" w:asciiTheme="minorEastAsia" w:hAnsiTheme="minorEastAsia" w:eastAsiaTheme="minorEastAsia" w:cstheme="minorEastAsia"/>
              <w:b w:val="0"/>
              <w:bCs/>
              <w:color w:val="auto"/>
              <w:sz w:val="21"/>
              <w:szCs w:val="21"/>
              <w:highlight w:val="none"/>
              <w:lang w:val="en-US" w:eastAsia="zh-CN"/>
            </w:rPr>
            <w:t>供餐、用餐与配送服务</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_Toc10994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7</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_Toc6615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5.7 </w:t>
          </w:r>
          <w:r>
            <w:rPr>
              <w:rFonts w:hint="eastAsia" w:asciiTheme="minorEastAsia" w:hAnsiTheme="minorEastAsia" w:eastAsiaTheme="minorEastAsia" w:cstheme="minorEastAsia"/>
              <w:b w:val="0"/>
              <w:bCs/>
              <w:color w:val="auto"/>
              <w:sz w:val="21"/>
              <w:szCs w:val="21"/>
              <w:highlight w:val="none"/>
              <w:lang w:val="en-US" w:eastAsia="zh-CN"/>
            </w:rPr>
            <w:t>清洗消毒</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_Toc6615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8</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1"/>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ind w:left="0" w:leftChars="0" w:firstLine="210" w:firstLineChars="1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_Toc22634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iCs w:val="0"/>
              <w:caps w:val="0"/>
              <w:strike w:val="0"/>
              <w:dstrike w:val="0"/>
              <w:vanish w:val="0"/>
              <w:color w:val="auto"/>
              <w:spacing w:val="0"/>
              <w:kern w:val="0"/>
              <w:position w:val="0"/>
              <w:sz w:val="21"/>
              <w:szCs w:val="21"/>
              <w:vertAlign w:val="baseline"/>
              <w:lang w:val="en-US" w:eastAsia="zh-CN"/>
            </w:rPr>
            <w:t xml:space="preserve">5.8 </w:t>
          </w:r>
          <w:r>
            <w:rPr>
              <w:rFonts w:hint="eastAsia" w:asciiTheme="minorEastAsia" w:hAnsiTheme="minorEastAsia" w:eastAsiaTheme="minorEastAsia" w:cstheme="minorEastAsia"/>
              <w:b w:val="0"/>
              <w:bCs/>
              <w:color w:val="auto"/>
              <w:sz w:val="21"/>
              <w:szCs w:val="21"/>
              <w:highlight w:val="none"/>
              <w:lang w:val="en-US" w:eastAsia="zh-CN"/>
            </w:rPr>
            <w:t>信息管理</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_Toc22634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8</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_Toc18783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lang w:val="en-US" w:eastAsia="zh-CN"/>
            </w:rPr>
            <w:t xml:space="preserve">6 </w:t>
          </w:r>
          <w:r>
            <w:rPr>
              <w:rFonts w:hint="eastAsia" w:asciiTheme="minorEastAsia" w:hAnsiTheme="minorEastAsia" w:eastAsiaTheme="minorEastAsia" w:cstheme="minorEastAsia"/>
              <w:b w:val="0"/>
              <w:bCs/>
              <w:color w:val="auto"/>
              <w:sz w:val="21"/>
              <w:szCs w:val="21"/>
              <w:highlight w:val="none"/>
              <w:lang w:val="en-US" w:eastAsia="zh-CN"/>
            </w:rPr>
            <w:t>食品安全应急处理</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_Toc18783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9</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pStyle w:val="140"/>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HYPERLINK \l _Toc30754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i w:val="0"/>
              <w:color w:val="auto"/>
              <w:sz w:val="21"/>
              <w:szCs w:val="21"/>
              <w:lang w:val="en-US" w:eastAsia="zh-CN"/>
            </w:rPr>
            <w:t xml:space="preserve">7 </w:t>
          </w:r>
          <w:r>
            <w:rPr>
              <w:rFonts w:hint="eastAsia" w:asciiTheme="minorEastAsia" w:hAnsiTheme="minorEastAsia" w:eastAsiaTheme="minorEastAsia" w:cstheme="minorEastAsia"/>
              <w:b w:val="0"/>
              <w:bCs/>
              <w:color w:val="auto"/>
              <w:sz w:val="21"/>
              <w:szCs w:val="21"/>
              <w:highlight w:val="none"/>
              <w:lang w:val="en-US" w:eastAsia="zh-CN"/>
            </w:rPr>
            <w:t>服务评价与改进</w:t>
          </w:r>
          <w:r>
            <w:rPr>
              <w:rFonts w:hint="eastAsia" w:asciiTheme="minorEastAsia" w:hAnsiTheme="minorEastAsia" w:eastAsiaTheme="minorEastAsia" w:cstheme="minorEastAsia"/>
              <w:b w:val="0"/>
              <w:bCs/>
              <w:color w:val="auto"/>
              <w:sz w:val="21"/>
              <w:szCs w:val="21"/>
            </w:rPr>
            <w:tab/>
          </w:r>
          <w:r>
            <w:rPr>
              <w:rFonts w:hint="eastAsia" w:asciiTheme="minorEastAsia" w:hAnsiTheme="minorEastAsia" w:eastAsiaTheme="minorEastAsia" w:cstheme="minorEastAsia"/>
              <w:b w:val="0"/>
              <w:bCs/>
              <w:color w:val="auto"/>
              <w:sz w:val="21"/>
              <w:szCs w:val="21"/>
            </w:rPr>
            <w:fldChar w:fldCharType="begin"/>
          </w:r>
          <w:r>
            <w:rPr>
              <w:rFonts w:hint="eastAsia" w:asciiTheme="minorEastAsia" w:hAnsiTheme="minorEastAsia" w:eastAsiaTheme="minorEastAsia" w:cstheme="minorEastAsia"/>
              <w:b w:val="0"/>
              <w:bCs/>
              <w:color w:val="auto"/>
              <w:sz w:val="21"/>
              <w:szCs w:val="21"/>
            </w:rPr>
            <w:instrText xml:space="preserve"> PAGEREF _Toc30754 \h </w:instrText>
          </w:r>
          <w:r>
            <w:rPr>
              <w:rFonts w:hint="eastAsia" w:asciiTheme="minorEastAsia" w:hAnsiTheme="minorEastAsia" w:eastAsiaTheme="minorEastAsia" w:cstheme="minorEastAsia"/>
              <w:b w:val="0"/>
              <w:bCs/>
              <w:color w:val="auto"/>
              <w:sz w:val="21"/>
              <w:szCs w:val="21"/>
            </w:rPr>
            <w:fldChar w:fldCharType="separate"/>
          </w:r>
          <w:r>
            <w:rPr>
              <w:rFonts w:hint="eastAsia" w:asciiTheme="minorEastAsia" w:hAnsiTheme="minorEastAsia" w:eastAsiaTheme="minorEastAsia" w:cstheme="minorEastAsia"/>
              <w:b w:val="0"/>
              <w:bCs/>
              <w:color w:val="auto"/>
              <w:sz w:val="21"/>
              <w:szCs w:val="21"/>
            </w:rPr>
            <w:t>9</w:t>
          </w:r>
          <w:r>
            <w:rPr>
              <w:rFonts w:hint="eastAsia" w:asciiTheme="minorEastAsia" w:hAnsiTheme="minorEastAsia" w:eastAsiaTheme="minorEastAsia" w:cstheme="minorEastAsia"/>
              <w:b w:val="0"/>
              <w:bCs/>
              <w:color w:val="auto"/>
              <w:sz w:val="21"/>
              <w:szCs w:val="21"/>
            </w:rPr>
            <w:fldChar w:fldCharType="end"/>
          </w:r>
          <w:r>
            <w:rPr>
              <w:rFonts w:hint="eastAsia" w:asciiTheme="minorEastAsia" w:hAnsiTheme="minorEastAsia" w:eastAsiaTheme="minorEastAsia" w:cstheme="minorEastAsia"/>
              <w:b w:val="0"/>
              <w:bCs/>
              <w:color w:val="auto"/>
              <w:sz w:val="21"/>
              <w:szCs w:val="21"/>
            </w:rPr>
            <w:fldChar w:fldCharType="end"/>
          </w:r>
        </w:p>
        <w:p>
          <w:pPr>
            <w:rPr>
              <w:color w:val="auto"/>
            </w:rPr>
          </w:pPr>
          <w:r>
            <w:rPr>
              <w:b/>
              <w:color w:val="auto"/>
            </w:rPr>
            <w:fldChar w:fldCharType="end"/>
          </w:r>
        </w:p>
      </w:sdtContent>
    </w:sdt>
    <w:p>
      <w:pPr>
        <w:pStyle w:val="67"/>
        <w:rPr>
          <w:color w:val="auto"/>
        </w:rPr>
      </w:pPr>
      <w:bookmarkStart w:id="22" w:name="_Toc14197"/>
      <w:r>
        <w:rPr>
          <w:rFonts w:hint="eastAsia"/>
          <w:color w:val="auto"/>
        </w:rPr>
        <w:t>前</w:t>
      </w:r>
      <w:bookmarkStart w:id="23" w:name="BKQY"/>
      <w:r>
        <w:rPr>
          <w:rFonts w:hint="eastAsia" w:ascii="MS Mincho" w:hAnsi="MS Mincho" w:eastAsia="MS Mincho" w:cs="MS Mincho"/>
          <w:color w:val="auto"/>
        </w:rPr>
        <w:t>  </w:t>
      </w:r>
      <w:r>
        <w:rPr>
          <w:rFonts w:hint="eastAsia"/>
          <w:color w:val="auto"/>
        </w:rPr>
        <w:t>言</w:t>
      </w:r>
      <w:bookmarkEnd w:id="22"/>
      <w:bookmarkEnd w:id="23"/>
    </w:p>
    <w:p>
      <w:pPr>
        <w:pStyle w:val="22"/>
        <w:rPr>
          <w:rFonts w:hAnsi="宋体"/>
          <w:color w:val="auto"/>
        </w:rPr>
      </w:pPr>
      <w:r>
        <w:rPr>
          <w:rFonts w:hint="eastAsia" w:hAnsi="宋体"/>
          <w:color w:val="auto"/>
        </w:rPr>
        <w:t>本文件按照GB/T 1.1</w:t>
      </w:r>
      <w:r>
        <w:rPr>
          <w:rFonts w:hAnsi="黑体"/>
          <w:color w:val="auto"/>
        </w:rPr>
        <w:t>—</w:t>
      </w:r>
      <w:r>
        <w:rPr>
          <w:rFonts w:hint="eastAsia" w:hAnsi="宋体"/>
          <w:color w:val="auto"/>
        </w:rPr>
        <w:t>2020《标准化工作导则 第1部分：标准化文件的结构和起草规则》的规定起草。</w:t>
      </w:r>
    </w:p>
    <w:p>
      <w:pPr>
        <w:pStyle w:val="22"/>
        <w:rPr>
          <w:rFonts w:hint="eastAsia" w:hAnsi="宋体" w:eastAsia="宋体"/>
          <w:color w:val="auto"/>
          <w:lang w:eastAsia="zh-CN"/>
        </w:rPr>
      </w:pPr>
      <w:r>
        <w:rPr>
          <w:rFonts w:hint="eastAsia" w:hAnsi="宋体"/>
          <w:color w:val="auto"/>
        </w:rPr>
        <w:t>本文件由</w:t>
      </w:r>
      <w:r>
        <w:rPr>
          <w:rFonts w:hint="eastAsia" w:hAnsi="宋体"/>
          <w:color w:val="auto"/>
          <w:lang w:val="en-US" w:eastAsia="zh-CN"/>
        </w:rPr>
        <w:t>黄石市商务局</w:t>
      </w:r>
      <w:r>
        <w:rPr>
          <w:rFonts w:hint="eastAsia" w:hAnsi="宋体"/>
          <w:color w:val="auto"/>
        </w:rPr>
        <w:t>提出</w:t>
      </w:r>
      <w:r>
        <w:rPr>
          <w:rFonts w:hint="eastAsia" w:hAnsi="宋体"/>
          <w:color w:val="auto"/>
          <w:lang w:eastAsia="zh-CN"/>
        </w:rPr>
        <w:t>。</w:t>
      </w:r>
    </w:p>
    <w:p>
      <w:pPr>
        <w:pStyle w:val="22"/>
        <w:rPr>
          <w:rFonts w:hAnsi="宋体"/>
          <w:color w:val="auto"/>
        </w:rPr>
      </w:pPr>
      <w:r>
        <w:rPr>
          <w:rFonts w:hint="eastAsia" w:hAnsi="宋体"/>
          <w:color w:val="auto"/>
        </w:rPr>
        <w:t>本文件由湖北省</w:t>
      </w:r>
      <w:r>
        <w:rPr>
          <w:rFonts w:hint="eastAsia" w:hAnsi="宋体"/>
          <w:color w:val="auto"/>
          <w:lang w:val="en-US" w:eastAsia="zh-CN"/>
        </w:rPr>
        <w:t>商务厅</w:t>
      </w:r>
      <w:r>
        <w:rPr>
          <w:rFonts w:hint="eastAsia" w:hAnsi="宋体"/>
          <w:color w:val="auto"/>
        </w:rPr>
        <w:t>归口。</w:t>
      </w:r>
    </w:p>
    <w:p>
      <w:pPr>
        <w:pStyle w:val="22"/>
        <w:rPr>
          <w:rFonts w:hAnsi="宋体"/>
          <w:color w:val="auto"/>
        </w:rPr>
      </w:pPr>
      <w:r>
        <w:rPr>
          <w:rFonts w:hint="eastAsia" w:hAnsi="宋体"/>
          <w:color w:val="auto"/>
        </w:rPr>
        <w:t>本文件起草单位：</w:t>
      </w:r>
      <w:r>
        <w:rPr>
          <w:rFonts w:hint="eastAsia" w:hAnsi="宋体"/>
          <w:color w:val="auto"/>
          <w:lang w:val="en-US" w:eastAsia="zh-CN"/>
        </w:rPr>
        <w:t>黄石市商务局、黄石市陶然风味园餐饮服务有限责任公司、黄石楚乡厨艺餐饮管理有限公司、湖北省标准化与质量研究院、黄石市信息与标准化所等</w:t>
      </w:r>
      <w:r>
        <w:rPr>
          <w:rFonts w:hint="eastAsia" w:hAnsi="宋体"/>
          <w:color w:val="auto"/>
        </w:rPr>
        <w:t>。</w:t>
      </w:r>
    </w:p>
    <w:p>
      <w:pPr>
        <w:pStyle w:val="22"/>
        <w:keepNext/>
        <w:widowControl w:val="0"/>
        <w:autoSpaceDE/>
        <w:autoSpaceDN/>
        <w:spacing w:line="0" w:lineRule="atLeast"/>
        <w:rPr>
          <w:rFonts w:hint="default" w:hAnsi="宋体" w:eastAsia="宋体"/>
          <w:color w:val="auto"/>
          <w:lang w:val="en-US" w:eastAsia="zh-CN"/>
        </w:rPr>
      </w:pPr>
      <w:r>
        <w:rPr>
          <w:rFonts w:hint="eastAsia" w:hAnsi="宋体"/>
          <w:color w:val="auto"/>
        </w:rPr>
        <w:t>本文件主要起草人：</w:t>
      </w:r>
      <w:r>
        <w:rPr>
          <w:rFonts w:hint="eastAsia" w:hAnsi="宋体"/>
          <w:color w:val="auto"/>
          <w:lang w:eastAsia="zh-CN"/>
        </w:rPr>
        <w:t>谭国华、高泳波、</w:t>
      </w:r>
      <w:r>
        <w:rPr>
          <w:rFonts w:hint="eastAsia" w:hAnsi="宋体"/>
          <w:color w:val="auto"/>
          <w:lang w:val="en-US" w:eastAsia="zh-CN"/>
        </w:rPr>
        <w:t>江凯、李响、张凯、</w:t>
      </w:r>
      <w:r>
        <w:rPr>
          <w:rFonts w:hint="eastAsia" w:cs="Times New Roman"/>
          <w:color w:val="auto"/>
          <w:szCs w:val="22"/>
          <w:highlight w:val="none"/>
          <w:lang w:val="en-US" w:eastAsia="zh-CN"/>
        </w:rPr>
        <w:t>杨琪、陈一康、胡建、李越予</w:t>
      </w:r>
      <w:r>
        <w:rPr>
          <w:rFonts w:hint="eastAsia" w:hAnsi="宋体"/>
          <w:color w:val="auto"/>
          <w:lang w:val="en-US" w:eastAsia="zh-CN"/>
        </w:rPr>
        <w:t>等。</w:t>
      </w:r>
    </w:p>
    <w:p>
      <w:pPr>
        <w:pStyle w:val="22"/>
        <w:keepNext/>
        <w:widowControl w:val="0"/>
        <w:autoSpaceDE/>
        <w:autoSpaceDN/>
        <w:spacing w:line="0" w:lineRule="atLeast"/>
        <w:rPr>
          <w:rFonts w:hAnsi="宋体" w:cs="宋体"/>
          <w:color w:val="auto"/>
          <w:szCs w:val="21"/>
        </w:rPr>
      </w:pPr>
      <w:r>
        <w:rPr>
          <w:rFonts w:hint="eastAsia" w:hAnsi="宋体" w:cs="宋体"/>
          <w:color w:val="auto"/>
          <w:szCs w:val="21"/>
        </w:rPr>
        <w:t>本文件实施应用中的疑问，可咨询</w:t>
      </w:r>
      <w:r>
        <w:rPr>
          <w:rFonts w:hint="eastAsia" w:hAnsi="宋体" w:cs="宋体"/>
          <w:color w:val="auto"/>
          <w:szCs w:val="21"/>
          <w:lang w:val="en-US" w:eastAsia="zh-CN"/>
        </w:rPr>
        <w:t>黄石市商务局</w:t>
      </w:r>
      <w:r>
        <w:rPr>
          <w:rFonts w:hint="eastAsia" w:hAnsi="宋体" w:cs="宋体"/>
          <w:color w:val="auto"/>
          <w:szCs w:val="21"/>
        </w:rPr>
        <w:t>，联系电话：</w:t>
      </w:r>
      <w:r>
        <w:rPr>
          <w:rFonts w:hint="eastAsia" w:hAnsi="宋体" w:cs="宋体"/>
          <w:color w:val="auto"/>
          <w:szCs w:val="21"/>
          <w:lang w:val="en-US" w:eastAsia="zh-CN"/>
        </w:rPr>
        <w:t>0714-6288651</w:t>
      </w:r>
      <w:r>
        <w:rPr>
          <w:rFonts w:hint="eastAsia" w:hAnsi="宋体" w:cs="宋体"/>
          <w:color w:val="auto"/>
          <w:szCs w:val="21"/>
        </w:rPr>
        <w:t>；对本文件的有关修改意见建议请反馈至湖北省</w:t>
      </w:r>
      <w:r>
        <w:rPr>
          <w:rFonts w:hint="eastAsia" w:hAnsi="宋体" w:cs="宋体"/>
          <w:color w:val="auto"/>
          <w:szCs w:val="21"/>
          <w:lang w:val="en-US" w:eastAsia="zh-CN"/>
        </w:rPr>
        <w:t>标准化与质量研究院</w:t>
      </w:r>
      <w:r>
        <w:rPr>
          <w:rFonts w:hint="eastAsia" w:hAnsi="宋体" w:cs="宋体"/>
          <w:color w:val="auto"/>
          <w:szCs w:val="21"/>
        </w:rPr>
        <w:t>，联系电话：027-88075773，邮箱：hubs_tc29@163.com。</w:t>
      </w:r>
    </w:p>
    <w:p>
      <w:pPr>
        <w:pStyle w:val="22"/>
        <w:rPr>
          <w:color w:val="auto"/>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titlePg/>
          <w:docGrid w:type="lines" w:linePitch="312" w:charSpace="0"/>
        </w:sectPr>
      </w:pPr>
    </w:p>
    <w:p>
      <w:pPr>
        <w:pStyle w:val="79"/>
        <w:rPr>
          <w:rFonts w:hint="default"/>
          <w:color w:val="auto"/>
          <w:lang w:val="en-US"/>
        </w:rPr>
      </w:pPr>
      <w:bookmarkStart w:id="24" w:name="_Toc14357"/>
      <w:bookmarkStart w:id="25" w:name="_Toc29879"/>
      <w:bookmarkStart w:id="26" w:name="_Toc30692"/>
      <w:bookmarkStart w:id="27" w:name="_Toc12835"/>
      <w:bookmarkStart w:id="28" w:name="_Toc11131"/>
      <w:bookmarkStart w:id="29" w:name="_Toc15941"/>
      <w:r>
        <w:rPr>
          <w:rFonts w:hint="eastAsia"/>
          <w:color w:val="auto"/>
          <w:lang w:val="en-US" w:eastAsia="zh-CN"/>
        </w:rPr>
        <w:t>放心早餐店建设与经营服务规范</w:t>
      </w:r>
      <w:bookmarkEnd w:id="24"/>
      <w:bookmarkEnd w:id="25"/>
      <w:bookmarkEnd w:id="26"/>
      <w:bookmarkEnd w:id="27"/>
      <w:bookmarkEnd w:id="28"/>
      <w:bookmarkEnd w:id="29"/>
    </w:p>
    <w:p>
      <w:pPr>
        <w:pStyle w:val="78"/>
        <w:spacing w:before="312" w:after="312"/>
        <w:outlineLvl w:val="0"/>
        <w:rPr>
          <w:color w:val="auto"/>
        </w:rPr>
      </w:pPr>
      <w:bookmarkStart w:id="30" w:name="_Toc2786787"/>
      <w:bookmarkStart w:id="31" w:name="_Toc18380"/>
      <w:bookmarkStart w:id="32" w:name="_Toc2594223"/>
      <w:bookmarkStart w:id="33" w:name="_Toc522093791"/>
      <w:bookmarkStart w:id="34" w:name="_Toc9079"/>
      <w:bookmarkStart w:id="35" w:name="_Toc522093482"/>
      <w:bookmarkStart w:id="36" w:name="_Toc536005773"/>
      <w:bookmarkStart w:id="37" w:name="_Toc535935459"/>
      <w:r>
        <w:rPr>
          <w:rFonts w:hint="eastAsia"/>
          <w:color w:val="auto"/>
        </w:rPr>
        <w:t>范围</w:t>
      </w:r>
      <w:bookmarkEnd w:id="30"/>
      <w:bookmarkEnd w:id="31"/>
      <w:bookmarkEnd w:id="32"/>
      <w:bookmarkEnd w:id="33"/>
      <w:bookmarkEnd w:id="34"/>
      <w:bookmarkEnd w:id="35"/>
      <w:bookmarkEnd w:id="36"/>
      <w:bookmarkEnd w:id="37"/>
    </w:p>
    <w:p>
      <w:pPr>
        <w:pStyle w:val="22"/>
        <w:rPr>
          <w:rFonts w:hint="eastAsia"/>
          <w:color w:val="auto"/>
          <w:lang w:eastAsia="zh-CN"/>
        </w:rPr>
      </w:pPr>
      <w:r>
        <w:rPr>
          <w:rFonts w:hint="eastAsia"/>
          <w:color w:val="auto"/>
        </w:rPr>
        <w:t>本文件</w:t>
      </w:r>
      <w:r>
        <w:rPr>
          <w:rFonts w:hint="eastAsia"/>
          <w:color w:val="auto"/>
          <w:lang w:eastAsia="zh-CN"/>
        </w:rPr>
        <w:t>规定</w:t>
      </w:r>
      <w:r>
        <w:rPr>
          <w:rFonts w:hint="eastAsia"/>
          <w:color w:val="auto"/>
        </w:rPr>
        <w:t>了</w:t>
      </w:r>
      <w:r>
        <w:rPr>
          <w:rFonts w:hint="eastAsia"/>
          <w:color w:val="auto"/>
          <w:lang w:val="en-US" w:eastAsia="zh-CN"/>
        </w:rPr>
        <w:t>放心</w:t>
      </w:r>
      <w:r>
        <w:rPr>
          <w:rFonts w:hint="eastAsia"/>
          <w:b w:val="0"/>
          <w:bCs w:val="0"/>
          <w:color w:val="auto"/>
          <w:lang w:val="en-US" w:eastAsia="zh-CN"/>
        </w:rPr>
        <w:t>早餐店建设、经营服务、食品安全应急处理、服务评价与改进的要求。</w:t>
      </w:r>
    </w:p>
    <w:p>
      <w:pPr>
        <w:pStyle w:val="22"/>
        <w:rPr>
          <w:rFonts w:hint="eastAsia"/>
          <w:color w:val="auto"/>
          <w:szCs w:val="22"/>
        </w:rPr>
      </w:pPr>
      <w:r>
        <w:rPr>
          <w:rFonts w:hint="eastAsia"/>
          <w:color w:val="auto"/>
          <w:szCs w:val="22"/>
        </w:rPr>
        <w:t>本文件适用于</w:t>
      </w:r>
      <w:r>
        <w:rPr>
          <w:rFonts w:hint="eastAsia"/>
          <w:color w:val="auto"/>
          <w:szCs w:val="22"/>
          <w:lang w:eastAsia="zh-CN"/>
        </w:rPr>
        <w:t>湖北省在营、新建和升级改造的放心早餐店，其他早餐店可参照执行。</w:t>
      </w:r>
    </w:p>
    <w:p>
      <w:pPr>
        <w:pStyle w:val="78"/>
        <w:spacing w:before="312" w:after="312"/>
        <w:outlineLvl w:val="0"/>
        <w:rPr>
          <w:color w:val="auto"/>
        </w:rPr>
      </w:pPr>
      <w:bookmarkStart w:id="38" w:name="_Toc1039"/>
      <w:bookmarkStart w:id="39" w:name="_Toc30268"/>
      <w:r>
        <w:rPr>
          <w:rFonts w:hint="eastAsia"/>
          <w:color w:val="auto"/>
        </w:rPr>
        <w:t>规范性引用文件</w:t>
      </w:r>
      <w:bookmarkEnd w:id="38"/>
      <w:bookmarkEnd w:id="39"/>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 文件。</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eastAsia"/>
          <w:color w:val="auto"/>
          <w:szCs w:val="22"/>
          <w:lang w:val="en-US" w:eastAsia="zh-CN"/>
        </w:rPr>
        <w:t>GB 2760 食品安全国家标准 食品添加剂使用标准</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GB 5749 生活饮用水卫生标准</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default"/>
          <w:color w:val="auto"/>
          <w:szCs w:val="22"/>
          <w:lang w:val="en-US" w:eastAsia="zh-CN"/>
        </w:rPr>
        <w:t>GB</w:t>
      </w:r>
      <w:r>
        <w:rPr>
          <w:rFonts w:hint="eastAsia"/>
          <w:color w:val="auto"/>
          <w:szCs w:val="22"/>
          <w:lang w:val="en-US" w:eastAsia="zh-CN"/>
        </w:rPr>
        <w:t xml:space="preserve"> 4806.7 食品安全国家标准 食品接触用塑料材料及制品</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GB/T 10001.1 标志用公共信息图形符号 第1部分：通用符号</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eastAsia"/>
          <w:color w:val="auto"/>
          <w:szCs w:val="22"/>
          <w:lang w:val="en-US" w:eastAsia="zh-CN"/>
        </w:rPr>
        <w:t>GB 14930.1 食品安全国家标准洗涤剂</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eastAsia"/>
          <w:color w:val="auto"/>
          <w:szCs w:val="22"/>
          <w:lang w:val="en-US" w:eastAsia="zh-CN"/>
        </w:rPr>
        <w:t>GB 14930.2 食品安全国家标准消毒剂</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GB 14934 食品安全国家标准 消毒餐（饮）具</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default"/>
          <w:color w:val="auto"/>
          <w:szCs w:val="22"/>
          <w:lang w:val="en-US" w:eastAsia="zh-CN"/>
        </w:rPr>
        <w:t>GB 18483 饮食业油烟排放标准</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GB/T 35833 厨房油污清洁剂</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eastAsia"/>
          <w:color w:val="auto"/>
          <w:szCs w:val="22"/>
          <w:lang w:val="en-US" w:eastAsia="zh-CN"/>
        </w:rPr>
        <w:t>SB/T 10426 餐饮企业经营规范</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szCs w:val="22"/>
          <w:lang w:val="en-US" w:eastAsia="zh-CN"/>
        </w:rPr>
      </w:pPr>
      <w:r>
        <w:rPr>
          <w:rFonts w:hint="eastAsia"/>
          <w:color w:val="auto"/>
          <w:szCs w:val="22"/>
          <w:lang w:val="en-US" w:eastAsia="zh-CN"/>
        </w:rPr>
        <w:t>SB/T 10443 早餐经营规范</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szCs w:val="22"/>
          <w:lang w:val="en-US" w:eastAsia="zh-CN"/>
        </w:rPr>
      </w:pPr>
      <w:r>
        <w:rPr>
          <w:rFonts w:hint="eastAsia"/>
          <w:color w:val="auto"/>
          <w:szCs w:val="22"/>
          <w:lang w:val="en-US" w:eastAsia="zh-CN"/>
        </w:rPr>
        <w:t>JGJ 64 饮食建筑设计标准</w:t>
      </w:r>
    </w:p>
    <w:p>
      <w:pPr>
        <w:pStyle w:val="78"/>
        <w:spacing w:before="312" w:after="312"/>
        <w:outlineLvl w:val="0"/>
        <w:rPr>
          <w:color w:val="auto"/>
        </w:rPr>
      </w:pPr>
      <w:bookmarkStart w:id="40" w:name="_Toc18621"/>
      <w:bookmarkStart w:id="41" w:name="_Toc31353"/>
      <w:r>
        <w:rPr>
          <w:rFonts w:hint="eastAsia"/>
          <w:color w:val="auto"/>
        </w:rPr>
        <w:t>术语和定义</w:t>
      </w:r>
      <w:bookmarkEnd w:id="40"/>
      <w:bookmarkEnd w:id="41"/>
      <w:r>
        <w:rPr>
          <w:rFonts w:hint="eastAsia"/>
          <w:color w:val="auto"/>
          <w:lang w:val="en-US" w:eastAsia="zh-CN"/>
        </w:rPr>
        <w:t xml:space="preserve"> </w:t>
      </w:r>
    </w:p>
    <w:p>
      <w:pPr>
        <w:pStyle w:val="22"/>
        <w:rPr>
          <w:rFonts w:hint="default" w:ascii="宋体" w:eastAsia="宋体"/>
          <w:color w:val="auto"/>
          <w:lang w:val="en-US" w:eastAsia="zh-CN"/>
        </w:rPr>
      </w:pPr>
      <w:r>
        <w:rPr>
          <w:rFonts w:hint="eastAsia"/>
          <w:color w:val="auto"/>
          <w:szCs w:val="22"/>
          <w:lang w:val="en-US" w:eastAsia="zh-CN"/>
        </w:rPr>
        <w:t xml:space="preserve">下列术语和定义适用于本文件。 </w:t>
      </w:r>
    </w:p>
    <w:p>
      <w:pPr>
        <w:pStyle w:val="64"/>
        <w:numPr>
          <w:ilvl w:val="1"/>
          <w:numId w:val="6"/>
        </w:numPr>
        <w:spacing w:before="156" w:after="156"/>
        <w:jc w:val="both"/>
        <w:outlineLvl w:val="9"/>
        <w:rPr>
          <w:rFonts w:hint="eastAsia" w:cs="Times New Roman"/>
          <w:color w:val="auto"/>
          <w:highlight w:val="none"/>
          <w:lang w:val="en-US" w:eastAsia="zh-CN"/>
        </w:rPr>
      </w:pPr>
    </w:p>
    <w:p>
      <w:pPr>
        <w:pStyle w:val="64"/>
        <w:keepNext w:val="0"/>
        <w:keepLines w:val="0"/>
        <w:pageBreakBefore w:val="0"/>
        <w:widowControl/>
        <w:numPr>
          <w:ilvl w:val="1"/>
          <w:numId w:val="0"/>
        </w:numPr>
        <w:kinsoku/>
        <w:wordWrap/>
        <w:overflowPunct/>
        <w:topLinePunct w:val="0"/>
        <w:autoSpaceDE/>
        <w:autoSpaceDN/>
        <w:bidi w:val="0"/>
        <w:adjustRightInd/>
        <w:snapToGrid/>
        <w:spacing w:before="79" w:beforeLines="25" w:after="79" w:afterLines="25"/>
        <w:ind w:leftChars="0" w:firstLine="420" w:firstLineChars="200"/>
        <w:jc w:val="both"/>
        <w:textAlignment w:val="auto"/>
        <w:outlineLvl w:val="9"/>
        <w:rPr>
          <w:rFonts w:hint="default" w:cs="Times New Roman"/>
          <w:color w:val="auto"/>
          <w:highlight w:val="none"/>
          <w:lang w:val="en-US" w:eastAsia="zh-CN"/>
        </w:rPr>
      </w:pPr>
      <w:r>
        <w:rPr>
          <w:rFonts w:hint="eastAsia" w:cs="Times New Roman"/>
          <w:color w:val="auto"/>
          <w:highlight w:val="none"/>
          <w:lang w:val="en-US" w:eastAsia="zh-CN"/>
        </w:rPr>
        <w:t>明厨亮灶see-through kitchens</w:t>
      </w:r>
    </w:p>
    <w:p>
      <w:pPr>
        <w:pStyle w:val="22"/>
        <w:rPr>
          <w:rFonts w:hint="eastAsia"/>
          <w:color w:val="auto"/>
          <w:lang w:val="en-US" w:eastAsia="zh-CN"/>
        </w:rPr>
      </w:pPr>
      <w:r>
        <w:rPr>
          <w:rFonts w:hint="eastAsia"/>
          <w:color w:val="auto"/>
          <w:lang w:val="en-US" w:eastAsia="zh-CN"/>
        </w:rPr>
        <w:t>餐饮服务提供者采用透明玻璃、视频等方式，向社会公众展示餐饮服务相关过程的一种形式。</w:t>
      </w:r>
    </w:p>
    <w:p>
      <w:pPr>
        <w:pStyle w:val="64"/>
        <w:numPr>
          <w:ilvl w:val="1"/>
          <w:numId w:val="6"/>
        </w:numPr>
        <w:spacing w:before="156" w:after="156"/>
        <w:jc w:val="both"/>
        <w:outlineLvl w:val="9"/>
        <w:rPr>
          <w:rFonts w:hint="eastAsia" w:cs="Times New Roman"/>
          <w:color w:val="auto"/>
          <w:highlight w:val="none"/>
          <w:lang w:val="en-US" w:eastAsia="zh-CN"/>
        </w:rPr>
      </w:pPr>
    </w:p>
    <w:p>
      <w:pPr>
        <w:pStyle w:val="64"/>
        <w:keepNext w:val="0"/>
        <w:keepLines w:val="0"/>
        <w:pageBreakBefore w:val="0"/>
        <w:widowControl/>
        <w:numPr>
          <w:ilvl w:val="1"/>
          <w:numId w:val="0"/>
        </w:numPr>
        <w:kinsoku/>
        <w:wordWrap/>
        <w:overflowPunct/>
        <w:topLinePunct w:val="0"/>
        <w:autoSpaceDE/>
        <w:autoSpaceDN/>
        <w:bidi w:val="0"/>
        <w:adjustRightInd/>
        <w:snapToGrid/>
        <w:spacing w:before="79" w:beforeLines="25" w:after="79" w:afterLines="25"/>
        <w:ind w:leftChars="0" w:firstLine="420" w:firstLineChars="200"/>
        <w:jc w:val="both"/>
        <w:textAlignment w:val="auto"/>
        <w:outlineLvl w:val="9"/>
        <w:rPr>
          <w:rFonts w:hint="default" w:cs="Times New Roman"/>
          <w:color w:val="auto"/>
          <w:highlight w:val="none"/>
          <w:lang w:val="en-US" w:eastAsia="zh-CN"/>
        </w:rPr>
      </w:pPr>
      <w:r>
        <w:rPr>
          <w:rFonts w:hint="eastAsia" w:cs="Times New Roman"/>
          <w:color w:val="auto"/>
          <w:highlight w:val="none"/>
          <w:lang w:val="en-US" w:eastAsia="zh-CN"/>
        </w:rPr>
        <w:t>高危易腐食品 High-risk perishable food</w:t>
      </w:r>
    </w:p>
    <w:p>
      <w:pPr>
        <w:pStyle w:val="22"/>
        <w:rPr>
          <w:rFonts w:hint="eastAsia"/>
          <w:color w:val="auto"/>
          <w:lang w:val="en-US" w:eastAsia="zh-CN"/>
        </w:rPr>
      </w:pPr>
      <w:r>
        <w:rPr>
          <w:rFonts w:hint="eastAsia"/>
          <w:color w:val="auto"/>
          <w:lang w:val="en-US" w:eastAsia="zh-CN"/>
        </w:rPr>
        <w:t>蛋白质或碳水化合物含量较高（通常酸碱度大于4.6且水分活度大于0.85），常温下容易腐败变质的食品。</w:t>
      </w:r>
    </w:p>
    <w:p>
      <w:pPr>
        <w:pStyle w:val="78"/>
        <w:spacing w:before="312" w:after="312"/>
        <w:outlineLvl w:val="0"/>
        <w:rPr>
          <w:rFonts w:hint="default"/>
          <w:color w:val="auto"/>
          <w:lang w:val="en-US" w:eastAsia="zh-CN"/>
        </w:rPr>
      </w:pPr>
      <w:bookmarkStart w:id="42" w:name="_Toc27862"/>
      <w:r>
        <w:rPr>
          <w:rFonts w:hint="eastAsia"/>
          <w:color w:val="auto"/>
          <w:lang w:val="en-US" w:eastAsia="zh-CN"/>
        </w:rPr>
        <w:t>建设要求</w:t>
      </w:r>
      <w:bookmarkEnd w:id="42"/>
    </w:p>
    <w:p>
      <w:pPr>
        <w:pStyle w:val="64"/>
        <w:numPr>
          <w:ilvl w:val="1"/>
          <w:numId w:val="6"/>
        </w:numPr>
        <w:spacing w:before="156" w:after="156"/>
        <w:jc w:val="both"/>
        <w:outlineLvl w:val="1"/>
        <w:rPr>
          <w:rFonts w:hint="default" w:cs="Times New Roman"/>
          <w:color w:val="auto"/>
          <w:highlight w:val="none"/>
          <w:lang w:val="en-US" w:eastAsia="zh-CN"/>
        </w:rPr>
      </w:pPr>
      <w:bookmarkStart w:id="43" w:name="_Toc31329"/>
      <w:r>
        <w:rPr>
          <w:rFonts w:hint="eastAsia" w:cs="Times New Roman"/>
          <w:color w:val="auto"/>
          <w:highlight w:val="none"/>
          <w:lang w:val="en-US" w:eastAsia="zh-CN"/>
        </w:rPr>
        <w:t>选址</w:t>
      </w:r>
      <w:bookmarkEnd w:id="43"/>
    </w:p>
    <w:p>
      <w:pPr>
        <w:pStyle w:val="22"/>
        <w:bidi w:val="0"/>
        <w:rPr>
          <w:rFonts w:hint="default"/>
          <w:color w:val="auto"/>
          <w:lang w:val="en-US" w:eastAsia="zh-CN"/>
        </w:rPr>
      </w:pPr>
      <w:r>
        <w:rPr>
          <w:rFonts w:hint="eastAsia"/>
          <w:color w:val="auto"/>
          <w:lang w:val="en-US" w:eastAsia="zh-CN"/>
        </w:rPr>
        <w:t>早餐店应选择与经营的餐食相适应的场所，其面积应由所在区域人口数量或流动人口数量而定。早餐店应距离粪坑、污水池、</w:t>
      </w:r>
      <w:r>
        <w:rPr>
          <w:rFonts w:hint="default"/>
          <w:color w:val="auto"/>
          <w:lang w:val="en-US" w:eastAsia="zh-CN"/>
        </w:rPr>
        <w:t>暴露垃圾场</w:t>
      </w:r>
      <w:r>
        <w:rPr>
          <w:rFonts w:hint="eastAsia"/>
          <w:color w:val="auto"/>
          <w:lang w:val="en-US" w:eastAsia="zh-CN"/>
        </w:rPr>
        <w:t>（</w:t>
      </w:r>
      <w:r>
        <w:rPr>
          <w:rFonts w:hint="default"/>
          <w:color w:val="auto"/>
          <w:lang w:val="en-US" w:eastAsia="zh-CN"/>
        </w:rPr>
        <w:t>站</w:t>
      </w:r>
      <w:r>
        <w:rPr>
          <w:rFonts w:hint="eastAsia"/>
          <w:color w:val="auto"/>
          <w:lang w:val="en-US" w:eastAsia="zh-CN"/>
        </w:rPr>
        <w:t>）、旱厕</w:t>
      </w:r>
      <w:r>
        <w:rPr>
          <w:rFonts w:hint="default"/>
          <w:color w:val="auto"/>
          <w:lang w:val="en-US" w:eastAsia="zh-CN"/>
        </w:rPr>
        <w:t>等污染源</w:t>
      </w:r>
      <w:r>
        <w:rPr>
          <w:rFonts w:hint="eastAsia"/>
          <w:color w:val="auto"/>
          <w:lang w:val="en-US" w:eastAsia="zh-CN"/>
        </w:rPr>
        <w:t>25 m以上，并位于粉尘、有害气体、放射性物质和其他扩散性污染源的影响范围外</w:t>
      </w:r>
      <w:r>
        <w:rPr>
          <w:rFonts w:hint="default"/>
          <w:color w:val="auto"/>
          <w:lang w:val="en-US" w:eastAsia="zh-CN"/>
        </w:rPr>
        <w:t>。</w:t>
      </w:r>
    </w:p>
    <w:p>
      <w:pPr>
        <w:pStyle w:val="64"/>
        <w:numPr>
          <w:ilvl w:val="1"/>
          <w:numId w:val="6"/>
        </w:numPr>
        <w:spacing w:before="156" w:after="156"/>
        <w:jc w:val="both"/>
        <w:outlineLvl w:val="1"/>
        <w:rPr>
          <w:rFonts w:hint="eastAsia" w:cs="Times New Roman"/>
          <w:color w:val="auto"/>
          <w:highlight w:val="none"/>
          <w:lang w:val="en-US" w:eastAsia="zh-CN"/>
        </w:rPr>
      </w:pPr>
      <w:bookmarkStart w:id="44" w:name="_Toc13200"/>
      <w:r>
        <w:rPr>
          <w:rFonts w:hint="eastAsia" w:cs="Times New Roman"/>
          <w:color w:val="auto"/>
          <w:highlight w:val="none"/>
          <w:lang w:val="en-US" w:eastAsia="zh-CN"/>
        </w:rPr>
        <w:t>建筑设计</w:t>
      </w:r>
      <w:bookmarkEnd w:id="44"/>
    </w:p>
    <w:p>
      <w:pPr>
        <w:pStyle w:val="63"/>
        <w:bidi w:val="0"/>
        <w:rPr>
          <w:rFonts w:hint="eastAsia"/>
          <w:color w:val="auto"/>
          <w:lang w:val="en-US" w:eastAsia="zh-CN"/>
        </w:rPr>
      </w:pPr>
      <w:r>
        <w:rPr>
          <w:rFonts w:hint="eastAsia"/>
          <w:color w:val="auto"/>
          <w:lang w:val="en-US" w:eastAsia="zh-CN"/>
        </w:rPr>
        <w:t>基本要求</w:t>
      </w:r>
    </w:p>
    <w:p>
      <w:pPr>
        <w:pStyle w:val="22"/>
        <w:bidi w:val="0"/>
        <w:rPr>
          <w:rFonts w:hint="eastAsia"/>
          <w:color w:val="auto"/>
          <w:lang w:val="en-US" w:eastAsia="zh-CN"/>
        </w:rPr>
      </w:pPr>
      <w:r>
        <w:rPr>
          <w:rFonts w:hint="eastAsia"/>
          <w:color w:val="auto"/>
          <w:lang w:val="en-US" w:eastAsia="zh-CN"/>
        </w:rPr>
        <w:t>经营场所建筑设计应符合JGJ 64规定。建筑结构应采用适当的耐用材料建造，坚固耐用，易于维修、清洁或消毒。宜</w:t>
      </w:r>
      <w:r>
        <w:rPr>
          <w:rFonts w:hint="default"/>
          <w:color w:val="auto"/>
          <w:lang w:val="en-US" w:eastAsia="zh-CN"/>
        </w:rPr>
        <w:t>按照安全、有序、美观的要求，根据企业文化设计门头、粘贴或悬挂标识标志、张贴宣传海报</w:t>
      </w:r>
      <w:r>
        <w:rPr>
          <w:rFonts w:hint="eastAsia"/>
          <w:color w:val="auto"/>
          <w:lang w:val="en-US" w:eastAsia="zh-CN"/>
        </w:rPr>
        <w:t>、屋顶牌匾。</w:t>
      </w:r>
    </w:p>
    <w:p>
      <w:pPr>
        <w:pStyle w:val="63"/>
        <w:bidi w:val="0"/>
        <w:rPr>
          <w:rFonts w:hint="eastAsia"/>
          <w:color w:val="auto"/>
          <w:lang w:val="en-US" w:eastAsia="zh-CN"/>
        </w:rPr>
      </w:pPr>
      <w:r>
        <w:rPr>
          <w:rFonts w:hint="eastAsia"/>
          <w:color w:val="auto"/>
          <w:lang w:val="en-US" w:eastAsia="zh-CN"/>
        </w:rPr>
        <w:t>天花板</w:t>
      </w:r>
    </w:p>
    <w:p>
      <w:pPr>
        <w:pStyle w:val="22"/>
        <w:bidi w:val="0"/>
        <w:rPr>
          <w:rFonts w:hint="eastAsia"/>
          <w:color w:val="auto"/>
          <w:lang w:val="en-US" w:eastAsia="zh-CN"/>
        </w:rPr>
      </w:pPr>
      <w:r>
        <w:rPr>
          <w:rFonts w:hint="eastAsia"/>
          <w:color w:val="auto"/>
          <w:lang w:val="en-US" w:eastAsia="zh-CN"/>
        </w:rPr>
        <w:t>应无裂缝、无破损，无霉斑、无灰尘、无有害生物隐匿，水蒸汽较多区域的天花板应有适当坡度。应使用无毒、无异味、不吸水、易清洁的涂覆或装修材料，食品处理区的天花板涂覆或装修材料还应耐高温、耐腐蚀。</w:t>
      </w:r>
    </w:p>
    <w:p>
      <w:pPr>
        <w:pStyle w:val="63"/>
        <w:bidi w:val="0"/>
        <w:rPr>
          <w:rFonts w:hint="eastAsia"/>
          <w:color w:val="auto"/>
          <w:lang w:val="en-US" w:eastAsia="zh-CN"/>
        </w:rPr>
      </w:pPr>
      <w:r>
        <w:rPr>
          <w:rFonts w:hint="eastAsia"/>
          <w:color w:val="auto"/>
          <w:lang w:val="en-US" w:eastAsia="zh-CN"/>
        </w:rPr>
        <w:t>墙壁</w:t>
      </w:r>
    </w:p>
    <w:p>
      <w:pPr>
        <w:pStyle w:val="22"/>
        <w:bidi w:val="0"/>
        <w:rPr>
          <w:rFonts w:hint="eastAsia"/>
          <w:color w:val="auto"/>
          <w:lang w:val="en-US" w:eastAsia="zh-CN"/>
        </w:rPr>
      </w:pPr>
      <w:r>
        <w:rPr>
          <w:rFonts w:hint="eastAsia"/>
          <w:color w:val="auto"/>
          <w:lang w:val="en-US" w:eastAsia="zh-CN"/>
        </w:rPr>
        <w:t>应平滑、无裂缝、无破损、无霉斑、无积垢。应使用无毒、无异味、不透水的涂覆或装修材料。需经常冲洗的区域应铺设1.5 m以上、浅色、不吸水、易清洗的墙裙。</w:t>
      </w:r>
    </w:p>
    <w:p>
      <w:pPr>
        <w:pStyle w:val="63"/>
        <w:bidi w:val="0"/>
        <w:rPr>
          <w:rFonts w:hint="eastAsia"/>
          <w:color w:val="auto"/>
          <w:lang w:val="en-US" w:eastAsia="zh-CN"/>
        </w:rPr>
      </w:pPr>
      <w:r>
        <w:rPr>
          <w:rFonts w:hint="eastAsia"/>
          <w:color w:val="auto"/>
          <w:lang w:val="en-US" w:eastAsia="zh-CN"/>
        </w:rPr>
        <w:t>门窗、孔洞</w:t>
      </w:r>
    </w:p>
    <w:p>
      <w:pPr>
        <w:pStyle w:val="22"/>
        <w:bidi w:val="0"/>
        <w:rPr>
          <w:rFonts w:hint="eastAsia"/>
          <w:color w:val="auto"/>
          <w:lang w:val="en-US" w:eastAsia="zh-CN"/>
        </w:rPr>
      </w:pPr>
      <w:r>
        <w:rPr>
          <w:rFonts w:hint="eastAsia"/>
          <w:color w:val="auto"/>
          <w:lang w:val="en-US" w:eastAsia="zh-CN"/>
        </w:rPr>
        <w:t>与外界相通的门窗无破损，与外界相通的空调管线孔洞应封堵。与外界直接相通的门和可开启的窗，应设置易拆洗、不易生锈的防蝇纱网或空气幕。</w:t>
      </w:r>
    </w:p>
    <w:p>
      <w:pPr>
        <w:pStyle w:val="63"/>
        <w:bidi w:val="0"/>
        <w:rPr>
          <w:rFonts w:hint="eastAsia"/>
          <w:color w:val="auto"/>
          <w:lang w:val="en-US" w:eastAsia="zh-CN"/>
        </w:rPr>
      </w:pPr>
      <w:r>
        <w:rPr>
          <w:rFonts w:hint="eastAsia"/>
          <w:color w:val="auto"/>
          <w:lang w:val="en-US" w:eastAsia="zh-CN"/>
        </w:rPr>
        <w:t>地面</w:t>
      </w:r>
    </w:p>
    <w:p>
      <w:pPr>
        <w:pStyle w:val="22"/>
        <w:bidi w:val="0"/>
        <w:rPr>
          <w:rFonts w:hint="eastAsia"/>
          <w:color w:val="auto"/>
          <w:lang w:val="en-US" w:eastAsia="zh-CN"/>
        </w:rPr>
      </w:pPr>
      <w:r>
        <w:rPr>
          <w:rFonts w:hint="eastAsia"/>
          <w:color w:val="auto"/>
          <w:lang w:val="en-US" w:eastAsia="zh-CN"/>
        </w:rPr>
        <w:t>应平整、无裂缝、无破损、无积水积垢。食品处理区地面的铺设材料应无毒、无异味、不透水、耐腐蚀。清洁操作区不应设置明沟，地漏应能防止废弃物流入及浊气溢出。</w:t>
      </w:r>
    </w:p>
    <w:p>
      <w:pPr>
        <w:pStyle w:val="64"/>
        <w:numPr>
          <w:ilvl w:val="1"/>
          <w:numId w:val="6"/>
        </w:numPr>
        <w:spacing w:before="156" w:after="156"/>
        <w:jc w:val="both"/>
        <w:outlineLvl w:val="1"/>
        <w:rPr>
          <w:rFonts w:hint="eastAsia" w:cs="Times New Roman"/>
          <w:color w:val="auto"/>
          <w:highlight w:val="none"/>
          <w:lang w:val="en-US" w:eastAsia="zh-CN"/>
        </w:rPr>
      </w:pPr>
      <w:bookmarkStart w:id="45" w:name="_Toc29572"/>
      <w:r>
        <w:rPr>
          <w:rFonts w:hint="eastAsia" w:cs="Times New Roman"/>
          <w:color w:val="auto"/>
          <w:highlight w:val="none"/>
          <w:lang w:val="en-US" w:eastAsia="zh-CN"/>
        </w:rPr>
        <w:t>区域设计</w:t>
      </w:r>
      <w:bookmarkEnd w:id="45"/>
    </w:p>
    <w:p>
      <w:pPr>
        <w:pStyle w:val="63"/>
        <w:bidi w:val="0"/>
        <w:rPr>
          <w:rFonts w:hint="eastAsia"/>
          <w:color w:val="auto"/>
          <w:lang w:val="en-US" w:eastAsia="zh-CN"/>
        </w:rPr>
      </w:pPr>
      <w:r>
        <w:rPr>
          <w:rFonts w:hint="eastAsia"/>
          <w:color w:val="auto"/>
          <w:lang w:val="en-US" w:eastAsia="zh-CN"/>
        </w:rPr>
        <w:t>一般要求</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早餐店内区域划分应满足顾客就餐需要，根据区域划分应包括但不限于：</w:t>
      </w:r>
    </w:p>
    <w:p>
      <w:pPr>
        <w:pStyle w:val="102"/>
        <w:bidi w:val="0"/>
        <w:rPr>
          <w:rFonts w:hint="eastAsia"/>
          <w:color w:val="auto"/>
          <w:lang w:val="en-US" w:eastAsia="zh-CN"/>
        </w:rPr>
      </w:pPr>
      <w:r>
        <w:rPr>
          <w:rFonts w:hint="eastAsia"/>
          <w:color w:val="auto"/>
          <w:lang w:val="en-US" w:eastAsia="zh-CN"/>
        </w:rPr>
        <w:t>点餐区；</w:t>
      </w:r>
    </w:p>
    <w:p>
      <w:pPr>
        <w:pStyle w:val="102"/>
        <w:bidi w:val="0"/>
        <w:rPr>
          <w:rFonts w:hint="eastAsia"/>
          <w:color w:val="auto"/>
          <w:lang w:val="en-US" w:eastAsia="zh-CN"/>
        </w:rPr>
      </w:pPr>
      <w:r>
        <w:rPr>
          <w:rFonts w:hint="eastAsia"/>
          <w:color w:val="auto"/>
          <w:lang w:val="en-US" w:eastAsia="zh-CN"/>
        </w:rPr>
        <w:t>就餐区；</w:t>
      </w:r>
    </w:p>
    <w:p>
      <w:pPr>
        <w:pStyle w:val="102"/>
        <w:bidi w:val="0"/>
        <w:rPr>
          <w:rFonts w:hint="eastAsia"/>
          <w:color w:val="auto"/>
          <w:lang w:val="en-US" w:eastAsia="zh-CN"/>
        </w:rPr>
      </w:pPr>
      <w:r>
        <w:rPr>
          <w:rFonts w:hint="eastAsia"/>
          <w:color w:val="auto"/>
          <w:lang w:val="en-US" w:eastAsia="zh-CN"/>
        </w:rPr>
        <w:t>自助调料区；</w:t>
      </w:r>
    </w:p>
    <w:p>
      <w:pPr>
        <w:pStyle w:val="102"/>
        <w:bidi w:val="0"/>
        <w:rPr>
          <w:rFonts w:hint="eastAsia"/>
          <w:color w:val="auto"/>
          <w:lang w:val="en-US" w:eastAsia="zh-CN"/>
        </w:rPr>
      </w:pPr>
      <w:r>
        <w:rPr>
          <w:rFonts w:hint="eastAsia"/>
          <w:color w:val="auto"/>
          <w:lang w:val="en-US" w:eastAsia="zh-CN"/>
        </w:rPr>
        <w:t>打包区；</w:t>
      </w:r>
    </w:p>
    <w:p>
      <w:pPr>
        <w:pStyle w:val="102"/>
        <w:bidi w:val="0"/>
        <w:rPr>
          <w:rFonts w:hint="eastAsia"/>
          <w:color w:val="auto"/>
          <w:lang w:val="en-US" w:eastAsia="zh-CN"/>
        </w:rPr>
      </w:pPr>
      <w:r>
        <w:rPr>
          <w:rFonts w:hint="eastAsia"/>
          <w:color w:val="auto"/>
          <w:lang w:val="en-US" w:eastAsia="zh-CN"/>
        </w:rPr>
        <w:t>保温区</w:t>
      </w:r>
    </w:p>
    <w:p>
      <w:pPr>
        <w:pStyle w:val="102"/>
        <w:bidi w:val="0"/>
        <w:rPr>
          <w:rFonts w:hint="eastAsia"/>
          <w:color w:val="auto"/>
          <w:lang w:val="en-US" w:eastAsia="zh-CN"/>
        </w:rPr>
      </w:pPr>
      <w:r>
        <w:rPr>
          <w:rFonts w:hint="eastAsia"/>
          <w:color w:val="auto"/>
          <w:lang w:val="en-US" w:eastAsia="zh-CN"/>
        </w:rPr>
        <w:t>食品处理区；</w:t>
      </w:r>
    </w:p>
    <w:p>
      <w:pPr>
        <w:pStyle w:val="102"/>
        <w:bidi w:val="0"/>
        <w:rPr>
          <w:rFonts w:hint="eastAsia"/>
          <w:color w:val="auto"/>
          <w:lang w:val="en-US" w:eastAsia="zh-CN"/>
        </w:rPr>
      </w:pPr>
      <w:r>
        <w:rPr>
          <w:rFonts w:hint="eastAsia"/>
          <w:color w:val="auto"/>
          <w:lang w:val="en-US" w:eastAsia="zh-CN"/>
        </w:rPr>
        <w:t>半成品存放区。</w:t>
      </w:r>
    </w:p>
    <w:p>
      <w:pPr>
        <w:pStyle w:val="106"/>
        <w:bidi w:val="0"/>
        <w:rPr>
          <w:rFonts w:hint="eastAsia"/>
          <w:color w:val="auto"/>
          <w:lang w:val="en-US" w:eastAsia="zh-CN"/>
        </w:rPr>
      </w:pPr>
      <w:r>
        <w:rPr>
          <w:rFonts w:hint="eastAsia"/>
          <w:color w:val="auto"/>
          <w:lang w:val="en-US" w:eastAsia="zh-CN"/>
        </w:rPr>
        <w:t>应配有醒目公示区，公示内容包括但不仅限于以下内容：</w:t>
      </w:r>
    </w:p>
    <w:p>
      <w:pPr>
        <w:pStyle w:val="102"/>
        <w:bidi w:val="0"/>
        <w:rPr>
          <w:rFonts w:hint="default"/>
          <w:color w:val="auto"/>
          <w:lang w:val="en-US" w:eastAsia="zh-CN"/>
        </w:rPr>
      </w:pPr>
      <w:r>
        <w:rPr>
          <w:rFonts w:hint="eastAsia"/>
          <w:color w:val="auto"/>
          <w:lang w:val="en-US" w:eastAsia="zh-CN"/>
        </w:rPr>
        <w:t>合法且在使用有效期内的《营业执照》《餐饮经营许可证》等证件；</w:t>
      </w:r>
    </w:p>
    <w:p>
      <w:pPr>
        <w:pStyle w:val="102"/>
        <w:bidi w:val="0"/>
        <w:rPr>
          <w:rFonts w:hint="default"/>
          <w:color w:val="auto"/>
          <w:lang w:val="en-US" w:eastAsia="zh-CN"/>
        </w:rPr>
      </w:pPr>
      <w:r>
        <w:rPr>
          <w:rFonts w:hint="eastAsia"/>
          <w:color w:val="auto"/>
          <w:lang w:val="en-US" w:eastAsia="zh-CN"/>
        </w:rPr>
        <w:t>营业时间；</w:t>
      </w:r>
    </w:p>
    <w:p>
      <w:pPr>
        <w:pStyle w:val="102"/>
        <w:bidi w:val="0"/>
        <w:rPr>
          <w:rFonts w:hint="default"/>
          <w:color w:val="auto"/>
          <w:lang w:val="en-US" w:eastAsia="zh-CN"/>
        </w:rPr>
      </w:pPr>
      <w:r>
        <w:rPr>
          <w:rFonts w:hint="eastAsia"/>
          <w:color w:val="auto"/>
          <w:lang w:val="en-US" w:eastAsia="zh-CN"/>
        </w:rPr>
        <w:t>从业人员健康证明；</w:t>
      </w:r>
    </w:p>
    <w:p>
      <w:pPr>
        <w:pStyle w:val="63"/>
        <w:numPr>
          <w:ilvl w:val="2"/>
          <w:numId w:val="0"/>
        </w:numPr>
        <w:spacing w:before="0" w:beforeLines="0" w:after="0" w:afterLines="0"/>
        <w:ind w:left="420" w:leftChars="0"/>
        <w:jc w:val="both"/>
        <w:outlineLvl w:val="9"/>
        <w:rPr>
          <w:rFonts w:hint="default" w:ascii="宋体" w:hAnsi="Times New Roman" w:eastAsia="宋体" w:cs="Times New Roman"/>
          <w:color w:val="auto"/>
          <w:szCs w:val="20"/>
          <w:lang w:val="en-US" w:eastAsia="zh-CN"/>
        </w:rPr>
      </w:pPr>
      <w:r>
        <w:rPr>
          <w:rFonts w:ascii="Times New Roman"/>
          <w:color w:val="auto"/>
          <w:szCs w:val="22"/>
        </w:rPr>
        <w:t>——</w:t>
      </w:r>
      <w:r>
        <w:rPr>
          <w:rFonts w:hint="eastAsia" w:ascii="宋体" w:hAnsi="Times New Roman" w:eastAsia="宋体" w:cs="Times New Roman"/>
          <w:color w:val="auto"/>
          <w:szCs w:val="20"/>
          <w:lang w:val="en-US" w:eastAsia="zh-CN"/>
        </w:rPr>
        <w:t>投诉电话</w:t>
      </w:r>
      <w:r>
        <w:rPr>
          <w:rFonts w:hint="eastAsia" w:ascii="宋体" w:eastAsia="宋体" w:cs="Times New Roman"/>
          <w:color w:val="auto"/>
          <w:szCs w:val="20"/>
          <w:lang w:val="en-US" w:eastAsia="zh-CN"/>
        </w:rPr>
        <w:t>和食品安全管理责任人信息</w:t>
      </w:r>
      <w:r>
        <w:rPr>
          <w:rFonts w:hint="eastAsia" w:ascii="宋体" w:hAnsi="Times New Roman" w:eastAsia="宋体" w:cs="Times New Roman"/>
          <w:color w:val="auto"/>
          <w:szCs w:val="20"/>
          <w:lang w:val="en-US" w:eastAsia="zh-CN"/>
        </w:rPr>
        <w:t>；</w:t>
      </w:r>
    </w:p>
    <w:p>
      <w:pPr>
        <w:pStyle w:val="63"/>
        <w:numPr>
          <w:ilvl w:val="2"/>
          <w:numId w:val="0"/>
        </w:numPr>
        <w:spacing w:before="0" w:beforeLines="0" w:after="0" w:afterLines="0"/>
        <w:ind w:left="420" w:leftChars="0"/>
        <w:jc w:val="both"/>
        <w:outlineLvl w:val="9"/>
        <w:rPr>
          <w:rFonts w:hint="default"/>
          <w:color w:val="auto"/>
          <w:lang w:val="en-US" w:eastAsia="zh-CN"/>
        </w:rPr>
      </w:pPr>
      <w:r>
        <w:rPr>
          <w:rFonts w:ascii="Times New Roman"/>
          <w:color w:val="auto"/>
          <w:szCs w:val="22"/>
        </w:rPr>
        <w:t>——</w:t>
      </w:r>
      <w:r>
        <w:rPr>
          <w:rFonts w:hint="eastAsia" w:ascii="宋体" w:eastAsia="宋体" w:cs="Times New Roman"/>
          <w:color w:val="auto"/>
          <w:szCs w:val="20"/>
          <w:lang w:val="en-US" w:eastAsia="zh-CN"/>
        </w:rPr>
        <w:t>卫生消毒记录；</w:t>
      </w:r>
    </w:p>
    <w:p>
      <w:pPr>
        <w:pStyle w:val="22"/>
        <w:rPr>
          <w:rFonts w:hint="default"/>
          <w:color w:val="auto"/>
          <w:lang w:val="en-US" w:eastAsia="zh-CN"/>
        </w:rPr>
      </w:pPr>
      <w:r>
        <w:rPr>
          <w:rFonts w:ascii="Times New Roman"/>
          <w:color w:val="auto"/>
          <w:szCs w:val="22"/>
        </w:rPr>
        <w:t>——</w:t>
      </w:r>
      <w:r>
        <w:rPr>
          <w:rFonts w:hint="eastAsia" w:cs="Times New Roman"/>
          <w:color w:val="auto"/>
          <w:szCs w:val="20"/>
          <w:lang w:val="en-US" w:eastAsia="zh-CN"/>
        </w:rPr>
        <w:t>食品安全管理制度；</w:t>
      </w:r>
    </w:p>
    <w:p>
      <w:pPr>
        <w:pStyle w:val="63"/>
        <w:numPr>
          <w:ilvl w:val="2"/>
          <w:numId w:val="0"/>
        </w:numPr>
        <w:spacing w:before="0" w:beforeLines="0" w:after="0" w:afterLines="0"/>
        <w:ind w:left="420" w:leftChars="0"/>
        <w:jc w:val="both"/>
        <w:outlineLvl w:val="9"/>
        <w:rPr>
          <w:rFonts w:hint="eastAsia" w:ascii="宋体" w:hAnsi="Times New Roman" w:eastAsia="宋体" w:cs="Times New Roman"/>
          <w:color w:val="auto"/>
          <w:szCs w:val="20"/>
          <w:lang w:val="en-US" w:eastAsia="zh-CN"/>
        </w:rPr>
      </w:pPr>
      <w:r>
        <w:rPr>
          <w:rFonts w:ascii="Times New Roman"/>
          <w:color w:val="auto"/>
          <w:szCs w:val="22"/>
        </w:rPr>
        <w:t>——</w:t>
      </w:r>
      <w:r>
        <w:rPr>
          <w:rFonts w:hint="eastAsia" w:ascii="宋体" w:eastAsia="宋体" w:cs="Times New Roman"/>
          <w:color w:val="auto"/>
          <w:szCs w:val="20"/>
          <w:lang w:val="en-US" w:eastAsia="zh-CN"/>
        </w:rPr>
        <w:t>食品安全承诺书；</w:t>
      </w:r>
    </w:p>
    <w:p>
      <w:pPr>
        <w:pStyle w:val="63"/>
        <w:numPr>
          <w:ilvl w:val="2"/>
          <w:numId w:val="0"/>
        </w:numPr>
        <w:spacing w:before="0" w:beforeLines="0" w:after="0" w:afterLines="0"/>
        <w:ind w:left="420" w:leftChars="0"/>
        <w:jc w:val="both"/>
        <w:outlineLvl w:val="9"/>
        <w:rPr>
          <w:rFonts w:hint="eastAsia"/>
          <w:color w:val="auto"/>
          <w:lang w:val="en-US" w:eastAsia="zh-CN"/>
        </w:rPr>
      </w:pPr>
      <w:r>
        <w:rPr>
          <w:rFonts w:ascii="Times New Roman"/>
          <w:color w:val="auto"/>
          <w:szCs w:val="22"/>
        </w:rPr>
        <w:t>——</w:t>
      </w:r>
      <w:r>
        <w:rPr>
          <w:rFonts w:hint="eastAsia" w:ascii="宋体" w:eastAsia="宋体" w:cs="Times New Roman"/>
          <w:color w:val="auto"/>
          <w:szCs w:val="20"/>
          <w:lang w:val="en-US" w:eastAsia="zh-CN"/>
        </w:rPr>
        <w:t>菜单。</w:t>
      </w:r>
    </w:p>
    <w:p>
      <w:pPr>
        <w:pStyle w:val="63"/>
        <w:bidi w:val="0"/>
        <w:rPr>
          <w:rFonts w:hint="eastAsia"/>
          <w:color w:val="auto"/>
          <w:lang w:val="en-US" w:eastAsia="zh-CN"/>
        </w:rPr>
      </w:pPr>
      <w:r>
        <w:rPr>
          <w:rFonts w:hint="eastAsia"/>
          <w:color w:val="auto"/>
          <w:lang w:val="en-US" w:eastAsia="zh-CN"/>
        </w:rPr>
        <w:t>点餐区</w:t>
      </w:r>
    </w:p>
    <w:p>
      <w:pPr>
        <w:pStyle w:val="22"/>
        <w:bidi w:val="0"/>
        <w:rPr>
          <w:rFonts w:hint="eastAsia"/>
          <w:color w:val="auto"/>
          <w:lang w:val="en-US" w:eastAsia="zh-CN"/>
        </w:rPr>
      </w:pPr>
      <w:r>
        <w:rPr>
          <w:rFonts w:hint="eastAsia"/>
          <w:color w:val="auto"/>
          <w:lang w:val="en-US" w:eastAsia="zh-CN"/>
        </w:rPr>
        <w:t>应设立专门的点餐口或点餐区并配套相应的设备设施，包括但不限于下列设施设备：</w:t>
      </w:r>
    </w:p>
    <w:p>
      <w:pPr>
        <w:pStyle w:val="102"/>
        <w:bidi w:val="0"/>
        <w:rPr>
          <w:rFonts w:hint="default"/>
          <w:color w:val="auto"/>
          <w:lang w:val="en-US" w:eastAsia="zh-CN"/>
        </w:rPr>
      </w:pPr>
      <w:r>
        <w:rPr>
          <w:rFonts w:hint="eastAsia"/>
          <w:color w:val="auto"/>
          <w:lang w:val="en-US" w:eastAsia="zh-CN"/>
        </w:rPr>
        <w:t>收银系统，支持现金、银行、移动支付等；</w:t>
      </w:r>
    </w:p>
    <w:p>
      <w:pPr>
        <w:pStyle w:val="102"/>
        <w:bidi w:val="0"/>
        <w:rPr>
          <w:rFonts w:hint="eastAsia"/>
          <w:color w:val="auto"/>
          <w:lang w:val="en-US" w:eastAsia="zh-CN"/>
        </w:rPr>
      </w:pPr>
      <w:r>
        <w:rPr>
          <w:rFonts w:hint="eastAsia"/>
          <w:color w:val="auto"/>
          <w:lang w:val="en-US" w:eastAsia="zh-CN"/>
        </w:rPr>
        <w:t>点餐设备，提供纸质菜单或公示牌，有条件的可以设置触摸屏点餐、自助点餐、扫码点餐等；</w:t>
      </w:r>
    </w:p>
    <w:p>
      <w:pPr>
        <w:pStyle w:val="102"/>
        <w:bidi w:val="0"/>
        <w:rPr>
          <w:rFonts w:hint="eastAsia"/>
          <w:color w:val="auto"/>
          <w:lang w:val="en-US" w:eastAsia="zh-CN"/>
        </w:rPr>
      </w:pPr>
      <w:r>
        <w:rPr>
          <w:rFonts w:hint="eastAsia"/>
          <w:color w:val="auto"/>
          <w:lang w:val="en-US" w:eastAsia="zh-CN"/>
        </w:rPr>
        <w:t>显示屏，有条件的可设置显示屏，实时更新菜品信息、价格、优惠活动等；</w:t>
      </w:r>
    </w:p>
    <w:p>
      <w:pPr>
        <w:pStyle w:val="102"/>
        <w:bidi w:val="0"/>
        <w:rPr>
          <w:rFonts w:hint="eastAsia"/>
          <w:color w:val="auto"/>
          <w:lang w:val="en-US" w:eastAsia="zh-CN"/>
        </w:rPr>
      </w:pPr>
      <w:r>
        <w:rPr>
          <w:rFonts w:hint="eastAsia"/>
          <w:color w:val="auto"/>
          <w:lang w:val="en-US" w:eastAsia="zh-CN"/>
        </w:rPr>
        <w:t>排队叫号系统，有条件的可以设置排队叫号系统。</w:t>
      </w:r>
    </w:p>
    <w:p>
      <w:pPr>
        <w:pStyle w:val="63"/>
        <w:bidi w:val="0"/>
        <w:rPr>
          <w:rFonts w:hint="eastAsia"/>
          <w:color w:val="auto"/>
          <w:lang w:val="en-US" w:eastAsia="zh-CN"/>
        </w:rPr>
      </w:pPr>
      <w:r>
        <w:rPr>
          <w:rFonts w:hint="eastAsia"/>
          <w:color w:val="auto"/>
          <w:lang w:val="en-US" w:eastAsia="zh-CN"/>
        </w:rPr>
        <w:t>就餐区</w:t>
      </w:r>
    </w:p>
    <w:p>
      <w:pPr>
        <w:pStyle w:val="22"/>
        <w:bidi w:val="0"/>
        <w:rPr>
          <w:rFonts w:hint="eastAsia"/>
          <w:color w:val="auto"/>
          <w:lang w:val="en-US" w:eastAsia="zh-CN"/>
        </w:rPr>
      </w:pPr>
      <w:r>
        <w:rPr>
          <w:rFonts w:hint="eastAsia"/>
          <w:color w:val="auto"/>
          <w:lang w:val="en-US" w:eastAsia="zh-CN"/>
        </w:rPr>
        <w:t>应设立明确的就餐区域并配套相应的设备设施，包括但限于下列设施设备：</w:t>
      </w:r>
    </w:p>
    <w:p>
      <w:pPr>
        <w:pStyle w:val="102"/>
        <w:bidi w:val="0"/>
        <w:rPr>
          <w:rFonts w:hint="eastAsia"/>
          <w:color w:val="auto"/>
          <w:lang w:val="en-US" w:eastAsia="zh-CN"/>
        </w:rPr>
      </w:pPr>
      <w:r>
        <w:rPr>
          <w:rFonts w:hint="eastAsia"/>
          <w:color w:val="auto"/>
          <w:lang w:val="en-US" w:eastAsia="zh-CN"/>
        </w:rPr>
        <w:t>餐桌餐椅，有条件的可以设置</w:t>
      </w:r>
      <w:r>
        <w:rPr>
          <w:rFonts w:hint="eastAsia" w:ascii="宋体" w:hAnsi="宋体" w:eastAsia="宋体" w:cs="宋体"/>
          <w:color w:val="auto"/>
          <w:lang w:val="en-US" w:eastAsia="zh-CN"/>
        </w:rPr>
        <w:t>儿童、孕妇等特殊人群桌椅</w:t>
      </w:r>
      <w:r>
        <w:rPr>
          <w:rFonts w:hint="eastAsia" w:hAnsi="宋体" w:cs="宋体"/>
          <w:color w:val="auto"/>
          <w:lang w:val="en-US" w:eastAsia="zh-CN"/>
        </w:rPr>
        <w:t>；</w:t>
      </w:r>
    </w:p>
    <w:p>
      <w:pPr>
        <w:pStyle w:val="102"/>
        <w:bidi w:val="0"/>
        <w:rPr>
          <w:rFonts w:hint="eastAsia"/>
          <w:color w:val="auto"/>
          <w:lang w:val="en-US" w:eastAsia="zh-CN"/>
        </w:rPr>
      </w:pPr>
      <w:r>
        <w:rPr>
          <w:rFonts w:hint="eastAsia"/>
          <w:color w:val="auto"/>
          <w:lang w:val="en-US" w:eastAsia="zh-CN"/>
        </w:rPr>
        <w:t>餐具餐巾；</w:t>
      </w:r>
    </w:p>
    <w:p>
      <w:pPr>
        <w:pStyle w:val="102"/>
        <w:bidi w:val="0"/>
        <w:rPr>
          <w:rFonts w:hint="eastAsia"/>
          <w:color w:val="auto"/>
          <w:lang w:val="en-US" w:eastAsia="zh-CN"/>
        </w:rPr>
      </w:pPr>
      <w:r>
        <w:rPr>
          <w:rFonts w:hint="eastAsia"/>
          <w:color w:val="auto"/>
          <w:lang w:val="en-US" w:eastAsia="zh-CN"/>
        </w:rPr>
        <w:t>通风设备；</w:t>
      </w:r>
    </w:p>
    <w:p>
      <w:pPr>
        <w:pStyle w:val="102"/>
        <w:bidi w:val="0"/>
        <w:rPr>
          <w:rFonts w:hint="eastAsia"/>
          <w:color w:val="auto"/>
          <w:lang w:val="en-US" w:eastAsia="zh-CN"/>
        </w:rPr>
      </w:pPr>
      <w:r>
        <w:rPr>
          <w:rFonts w:hint="eastAsia"/>
          <w:color w:val="auto"/>
          <w:lang w:val="en-US" w:eastAsia="zh-CN"/>
        </w:rPr>
        <w:t>垃圾桶；</w:t>
      </w:r>
    </w:p>
    <w:p>
      <w:pPr>
        <w:pStyle w:val="102"/>
        <w:bidi w:val="0"/>
        <w:rPr>
          <w:rFonts w:hint="eastAsia"/>
          <w:color w:val="auto"/>
          <w:lang w:val="en-US" w:eastAsia="zh-CN"/>
        </w:rPr>
      </w:pPr>
      <w:r>
        <w:rPr>
          <w:rFonts w:hint="eastAsia"/>
          <w:color w:val="auto"/>
          <w:lang w:val="en-US" w:eastAsia="zh-CN"/>
        </w:rPr>
        <w:t>有条件的可以设置储物柜等储物设备。</w:t>
      </w:r>
    </w:p>
    <w:p>
      <w:pPr>
        <w:pStyle w:val="63"/>
        <w:bidi w:val="0"/>
        <w:rPr>
          <w:rFonts w:hint="eastAsia"/>
          <w:color w:val="auto"/>
          <w:lang w:val="en-US" w:eastAsia="zh-CN"/>
        </w:rPr>
      </w:pPr>
      <w:r>
        <w:rPr>
          <w:rFonts w:hint="eastAsia"/>
          <w:color w:val="auto"/>
          <w:lang w:val="en-US" w:eastAsia="zh-CN"/>
        </w:rPr>
        <w:t>食品处理区</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食品处理区与就餐区应有效隔离。</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default"/>
          <w:color w:val="auto"/>
          <w:lang w:val="en-US" w:eastAsia="zh-CN"/>
        </w:rPr>
        <w:t>应根据制作需要，配备烤箱、蒸箱、豆浆机、煮粥锅、煎锅、油炸设备等。固定安装的设备设施应安装牢固，与地面、墙壁无缝隙，或保留足够的清洁、维护空间。</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厨房墙面、地面、抽油烟机应选用厨房油污清洁剂，应符合GB/T 35833的规定。应配备抽油烟机，油烟排放应符合GB 18483要求。</w:t>
      </w:r>
    </w:p>
    <w:p>
      <w:pPr>
        <w:pStyle w:val="63"/>
        <w:bidi w:val="0"/>
        <w:rPr>
          <w:rFonts w:hint="eastAsia"/>
          <w:color w:val="auto"/>
          <w:lang w:val="en-US" w:eastAsia="zh-CN"/>
        </w:rPr>
      </w:pPr>
      <w:r>
        <w:rPr>
          <w:rFonts w:hint="eastAsia"/>
          <w:color w:val="auto"/>
          <w:lang w:val="en-US" w:eastAsia="zh-CN"/>
        </w:rPr>
        <w:t>供水设施</w:t>
      </w:r>
    </w:p>
    <w:p>
      <w:pPr>
        <w:pStyle w:val="22"/>
        <w:bidi w:val="0"/>
        <w:rPr>
          <w:rFonts w:hint="eastAsia" w:eastAsia="宋体"/>
          <w:color w:val="auto"/>
          <w:lang w:val="en-US" w:eastAsia="zh-CN"/>
        </w:rPr>
      </w:pPr>
      <w:r>
        <w:rPr>
          <w:rFonts w:hint="eastAsia"/>
          <w:color w:val="auto"/>
          <w:lang w:val="en-US" w:eastAsia="zh-CN"/>
        </w:rPr>
        <w:t>食品加工制作用水管道系统应引自生活饮用水主管道，与非饮用水的管道系统完全分离，水质应符合</w:t>
      </w:r>
      <w:r>
        <w:rPr>
          <w:rFonts w:ascii="Arial" w:hAnsi="Arial" w:eastAsia="宋体" w:cs="Arial"/>
          <w:i w:val="0"/>
          <w:iCs w:val="0"/>
          <w:caps w:val="0"/>
          <w:color w:val="auto"/>
          <w:spacing w:val="0"/>
          <w:sz w:val="19"/>
          <w:szCs w:val="19"/>
          <w:shd w:val="clear" w:fill="FFFFFF"/>
        </w:rPr>
        <w:t>GB 5749</w:t>
      </w:r>
      <w:r>
        <w:rPr>
          <w:rFonts w:hint="eastAsia" w:ascii="Arial" w:hAnsi="Arial" w:eastAsia="宋体" w:cs="Arial"/>
          <w:i w:val="0"/>
          <w:iCs w:val="0"/>
          <w:caps w:val="0"/>
          <w:color w:val="auto"/>
          <w:spacing w:val="0"/>
          <w:sz w:val="19"/>
          <w:szCs w:val="19"/>
          <w:shd w:val="clear" w:fill="FFFFFF"/>
          <w:lang w:eastAsia="zh-CN"/>
        </w:rPr>
        <w:t>的要求。</w:t>
      </w:r>
    </w:p>
    <w:p>
      <w:pPr>
        <w:pStyle w:val="63"/>
        <w:bidi w:val="0"/>
        <w:rPr>
          <w:rFonts w:hint="eastAsia"/>
          <w:color w:val="auto"/>
          <w:lang w:val="en-US" w:eastAsia="zh-CN"/>
        </w:rPr>
      </w:pPr>
      <w:r>
        <w:rPr>
          <w:rFonts w:hint="eastAsia"/>
          <w:color w:val="auto"/>
          <w:lang w:val="en-US" w:eastAsia="zh-CN"/>
        </w:rPr>
        <w:t>排水设施</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排水设施应通畅，便于清洁、维护。</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排水沟出口设有防止有害生物侵入或浊气溢出的装置。需经常冲洗的场所和排水沟要有一定的排水坡度。</w:t>
      </w:r>
    </w:p>
    <w:p>
      <w:pPr>
        <w:pStyle w:val="63"/>
        <w:bidi w:val="0"/>
        <w:rPr>
          <w:rFonts w:hint="eastAsia"/>
          <w:color w:val="auto"/>
          <w:lang w:val="en-US" w:eastAsia="zh-CN"/>
        </w:rPr>
      </w:pPr>
      <w:r>
        <w:rPr>
          <w:rFonts w:hint="eastAsia"/>
          <w:color w:val="auto"/>
          <w:lang w:val="en-US" w:eastAsia="zh-CN"/>
        </w:rPr>
        <w:t>清洗消毒保洁设施</w:t>
      </w:r>
    </w:p>
    <w:p>
      <w:pPr>
        <w:pStyle w:val="106"/>
        <w:bidi w:val="0"/>
        <w:rPr>
          <w:rFonts w:hint="eastAsia"/>
          <w:color w:val="auto"/>
          <w:lang w:val="en-US" w:eastAsia="zh-CN"/>
        </w:rPr>
      </w:pPr>
      <w:r>
        <w:rPr>
          <w:rFonts w:hint="eastAsia"/>
          <w:color w:val="auto"/>
          <w:lang w:val="en-US" w:eastAsia="zh-CN"/>
        </w:rPr>
        <w:t>清洗、消毒、保洁设施设备应放置在专用区域，容量和数量应能满足加工制作和供餐需要。</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食品工用具的清洗水池应与食品原料、清洁用具的清洗水池分开。采用化学消毒方法的，应设置接触直接入口食品的工用具的专用消毒水池。</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应设置存放消毒后餐用具的专用保洁设施，标识明显，易于清洁。</w:t>
      </w:r>
    </w:p>
    <w:p>
      <w:pPr>
        <w:pStyle w:val="63"/>
        <w:bidi w:val="0"/>
        <w:rPr>
          <w:rFonts w:hint="eastAsia"/>
          <w:color w:val="auto"/>
          <w:lang w:val="en-US" w:eastAsia="zh-CN"/>
        </w:rPr>
      </w:pPr>
      <w:r>
        <w:rPr>
          <w:rFonts w:hint="eastAsia"/>
          <w:color w:val="auto"/>
          <w:lang w:val="en-US" w:eastAsia="zh-CN"/>
        </w:rPr>
        <w:t>个人卫生设施</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店内应设置足够数量的洗手设施。</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洗手设施附近宜配备洗手液（皂）、消毒液、擦手纸、干手器等。</w:t>
      </w:r>
    </w:p>
    <w:p>
      <w:pPr>
        <w:pStyle w:val="63"/>
        <w:bidi w:val="0"/>
        <w:rPr>
          <w:rFonts w:hint="default"/>
          <w:color w:val="auto"/>
          <w:lang w:val="en-US" w:eastAsia="zh-CN"/>
        </w:rPr>
      </w:pPr>
      <w:r>
        <w:rPr>
          <w:rFonts w:hint="eastAsia"/>
          <w:color w:val="auto"/>
          <w:lang w:val="en-US" w:eastAsia="zh-CN"/>
        </w:rPr>
        <w:t>标识管理</w:t>
      </w:r>
    </w:p>
    <w:p>
      <w:pPr>
        <w:pStyle w:val="106"/>
        <w:bidi w:val="0"/>
        <w:rPr>
          <w:rFonts w:hint="eastAsia"/>
          <w:color w:val="auto"/>
          <w:lang w:val="en-US" w:eastAsia="zh-CN"/>
        </w:rPr>
      </w:pPr>
      <w:r>
        <w:rPr>
          <w:rFonts w:hint="eastAsia"/>
          <w:color w:val="auto"/>
          <w:lang w:val="en-US" w:eastAsia="zh-CN"/>
        </w:rPr>
        <w:t>店牌、标识等公共符号及标志的设置应符合GB/T 10001.1的要求。</w:t>
      </w:r>
    </w:p>
    <w:p>
      <w:pPr>
        <w:pStyle w:val="106"/>
        <w:bidi w:val="0"/>
        <w:rPr>
          <w:rFonts w:hint="eastAsia"/>
          <w:color w:val="auto"/>
          <w:lang w:val="en-US" w:eastAsia="zh-CN"/>
        </w:rPr>
      </w:pPr>
      <w:r>
        <w:rPr>
          <w:rFonts w:hint="eastAsia"/>
          <w:color w:val="auto"/>
          <w:lang w:val="en-US" w:eastAsia="zh-CN"/>
        </w:rPr>
        <w:t>标识宜坚持“分区、分类、分层、分颜色”的原则，所有物品摆放的地方宜有标识定位。标签标识应明显，设施设备内所有产品标签朝外摆放。</w:t>
      </w:r>
    </w:p>
    <w:p>
      <w:pPr>
        <w:pStyle w:val="106"/>
        <w:bidi w:val="0"/>
        <w:rPr>
          <w:rFonts w:hint="eastAsia"/>
          <w:color w:val="auto"/>
          <w:lang w:val="en-US" w:eastAsia="zh-CN"/>
        </w:rPr>
      </w:pPr>
      <w:r>
        <w:rPr>
          <w:rFonts w:hint="eastAsia"/>
          <w:color w:val="auto"/>
          <w:lang w:val="en-US" w:eastAsia="zh-CN"/>
        </w:rPr>
        <w:t>分区应满足按照“生熟分开、冷热分开、干湿分开”的原则划分区域，制作统一分区牌并标识；</w:t>
      </w:r>
    </w:p>
    <w:p>
      <w:pPr>
        <w:pStyle w:val="106"/>
        <w:bidi w:val="0"/>
        <w:rPr>
          <w:rFonts w:hint="eastAsia"/>
          <w:color w:val="auto"/>
          <w:lang w:val="en-US" w:eastAsia="zh-CN"/>
        </w:rPr>
      </w:pPr>
      <w:r>
        <w:rPr>
          <w:rFonts w:hint="eastAsia"/>
          <w:color w:val="auto"/>
          <w:lang w:val="en-US" w:eastAsia="zh-CN"/>
        </w:rPr>
        <w:t>物品按照使用频率分开存放，坚持“左进右出”的使用原则；员工个人用品应设置专区（专柜）放置。</w:t>
      </w:r>
    </w:p>
    <w:p>
      <w:pPr>
        <w:pStyle w:val="106"/>
        <w:bidi w:val="0"/>
        <w:rPr>
          <w:rFonts w:hint="eastAsia"/>
          <w:color w:val="auto"/>
          <w:lang w:val="en-US" w:eastAsia="zh-CN"/>
        </w:rPr>
      </w:pPr>
      <w:r>
        <w:rPr>
          <w:rFonts w:hint="eastAsia"/>
          <w:color w:val="auto"/>
          <w:lang w:val="en-US" w:eastAsia="zh-CN"/>
        </w:rPr>
        <w:t>生产过程中涉及的设施设备、区域应按用途设置醒目清晰、无污渍的标识，包括但不限于：</w:t>
      </w:r>
    </w:p>
    <w:p>
      <w:pPr>
        <w:pStyle w:val="102"/>
        <w:bidi w:val="0"/>
        <w:rPr>
          <w:rFonts w:hint="eastAsia"/>
          <w:color w:val="auto"/>
          <w:lang w:val="en-US" w:eastAsia="zh-CN"/>
        </w:rPr>
      </w:pPr>
      <w:r>
        <w:rPr>
          <w:rFonts w:hint="eastAsia"/>
          <w:color w:val="auto"/>
          <w:lang w:val="en-US" w:eastAsia="zh-CN"/>
        </w:rPr>
        <w:t>库存原料；</w:t>
      </w:r>
    </w:p>
    <w:p>
      <w:pPr>
        <w:pStyle w:val="102"/>
        <w:bidi w:val="0"/>
        <w:rPr>
          <w:rFonts w:hint="eastAsia"/>
          <w:color w:val="auto"/>
          <w:lang w:val="en-US" w:eastAsia="zh-CN"/>
        </w:rPr>
      </w:pPr>
      <w:r>
        <w:rPr>
          <w:rFonts w:hint="default"/>
          <w:color w:val="auto"/>
          <w:lang w:val="en-US" w:eastAsia="zh-CN"/>
        </w:rPr>
        <w:t>食品添加剂</w:t>
      </w:r>
      <w:r>
        <w:rPr>
          <w:rFonts w:hint="eastAsia"/>
          <w:color w:val="auto"/>
          <w:lang w:val="en-US" w:eastAsia="zh-CN"/>
        </w:rPr>
        <w:t>；</w:t>
      </w:r>
    </w:p>
    <w:p>
      <w:pPr>
        <w:pStyle w:val="102"/>
        <w:bidi w:val="0"/>
        <w:rPr>
          <w:rFonts w:hint="default"/>
          <w:color w:val="auto"/>
          <w:lang w:val="en-US" w:eastAsia="zh-CN"/>
        </w:rPr>
      </w:pPr>
      <w:r>
        <w:rPr>
          <w:rFonts w:hint="default"/>
          <w:color w:val="auto"/>
          <w:lang w:val="en-US" w:eastAsia="zh-CN"/>
        </w:rPr>
        <w:t>清洗工具及用品</w:t>
      </w:r>
      <w:r>
        <w:rPr>
          <w:rFonts w:hint="eastAsia"/>
          <w:color w:val="auto"/>
          <w:lang w:val="en-US" w:eastAsia="zh-CN"/>
        </w:rPr>
        <w:t>及清洗间；</w:t>
      </w:r>
    </w:p>
    <w:p>
      <w:pPr>
        <w:pStyle w:val="102"/>
        <w:bidi w:val="0"/>
        <w:rPr>
          <w:rFonts w:hint="eastAsia"/>
          <w:color w:val="auto"/>
          <w:lang w:val="en-US" w:eastAsia="zh-CN"/>
        </w:rPr>
      </w:pPr>
      <w:r>
        <w:rPr>
          <w:rFonts w:hint="eastAsia"/>
          <w:color w:val="auto"/>
          <w:lang w:val="en-US" w:eastAsia="zh-CN"/>
        </w:rPr>
        <w:t>食品加工使用的容器；</w:t>
      </w:r>
    </w:p>
    <w:p>
      <w:pPr>
        <w:pStyle w:val="102"/>
        <w:bidi w:val="0"/>
        <w:rPr>
          <w:rFonts w:hint="eastAsia"/>
          <w:color w:val="auto"/>
          <w:lang w:val="en-US" w:eastAsia="zh-CN"/>
        </w:rPr>
      </w:pPr>
      <w:r>
        <w:rPr>
          <w:rFonts w:hint="eastAsia"/>
          <w:color w:val="auto"/>
          <w:lang w:val="en-US" w:eastAsia="zh-CN"/>
        </w:rPr>
        <w:t>各专间、操作间区；</w:t>
      </w:r>
    </w:p>
    <w:p>
      <w:pPr>
        <w:pStyle w:val="102"/>
        <w:bidi w:val="0"/>
        <w:rPr>
          <w:rFonts w:hint="default"/>
          <w:color w:val="auto"/>
          <w:lang w:val="en-US" w:eastAsia="zh-CN"/>
        </w:rPr>
      </w:pPr>
      <w:r>
        <w:rPr>
          <w:rFonts w:hint="eastAsia"/>
          <w:color w:val="auto"/>
          <w:lang w:val="en-US" w:eastAsia="zh-CN"/>
        </w:rPr>
        <w:t>废弃物存放区和容器；</w:t>
      </w:r>
    </w:p>
    <w:p>
      <w:pPr>
        <w:pStyle w:val="102"/>
        <w:bidi w:val="0"/>
        <w:rPr>
          <w:rFonts w:hint="default"/>
          <w:color w:val="auto"/>
          <w:lang w:val="en-US" w:eastAsia="zh-CN"/>
        </w:rPr>
      </w:pPr>
      <w:r>
        <w:rPr>
          <w:rFonts w:hint="eastAsia"/>
          <w:color w:val="auto"/>
          <w:lang w:val="en-US" w:eastAsia="zh-CN"/>
        </w:rPr>
        <w:t>冰箱（柜）、冷库；</w:t>
      </w:r>
    </w:p>
    <w:p>
      <w:pPr>
        <w:pStyle w:val="102"/>
        <w:bidi w:val="0"/>
        <w:rPr>
          <w:rFonts w:hint="eastAsia"/>
          <w:color w:val="auto"/>
          <w:lang w:val="en-US" w:eastAsia="zh-CN"/>
        </w:rPr>
      </w:pPr>
      <w:r>
        <w:rPr>
          <w:rFonts w:hint="eastAsia"/>
          <w:color w:val="auto"/>
          <w:lang w:val="en-US" w:eastAsia="zh-CN"/>
        </w:rPr>
        <w:t>原料、半成品存放容器；</w:t>
      </w:r>
    </w:p>
    <w:p>
      <w:pPr>
        <w:pStyle w:val="102"/>
        <w:bidi w:val="0"/>
        <w:rPr>
          <w:rFonts w:hint="eastAsia"/>
          <w:color w:val="auto"/>
          <w:lang w:val="en-US" w:eastAsia="zh-CN"/>
        </w:rPr>
      </w:pPr>
      <w:r>
        <w:rPr>
          <w:rFonts w:hint="default"/>
          <w:color w:val="auto"/>
          <w:lang w:val="en-US" w:eastAsia="zh-CN"/>
        </w:rPr>
        <w:t>留样柜</w:t>
      </w:r>
      <w:r>
        <w:rPr>
          <w:rFonts w:hint="eastAsia"/>
          <w:color w:val="auto"/>
          <w:lang w:val="en-US" w:eastAsia="zh-CN"/>
        </w:rPr>
        <w:t>；</w:t>
      </w:r>
    </w:p>
    <w:p>
      <w:pPr>
        <w:pStyle w:val="102"/>
        <w:bidi w:val="0"/>
        <w:rPr>
          <w:rFonts w:hint="eastAsia" w:ascii="宋体" w:eastAsia="宋体"/>
          <w:color w:val="auto"/>
          <w:lang w:val="en-US" w:eastAsia="zh-CN"/>
        </w:rPr>
      </w:pPr>
      <w:r>
        <w:rPr>
          <w:rFonts w:hint="eastAsia"/>
          <w:color w:val="auto"/>
          <w:lang w:val="en-US" w:eastAsia="zh-CN"/>
        </w:rPr>
        <w:t>水池、</w:t>
      </w:r>
      <w:r>
        <w:rPr>
          <w:rFonts w:hint="default"/>
          <w:color w:val="auto"/>
          <w:lang w:val="en-US" w:eastAsia="zh-CN"/>
        </w:rPr>
        <w:t>刀具、砧板</w:t>
      </w:r>
      <w:r>
        <w:rPr>
          <w:rFonts w:hint="eastAsia"/>
          <w:color w:val="auto"/>
          <w:lang w:val="en-US" w:eastAsia="zh-CN"/>
        </w:rPr>
        <w:t>、清洗池；</w:t>
      </w:r>
    </w:p>
    <w:p>
      <w:pPr>
        <w:pStyle w:val="102"/>
        <w:bidi w:val="0"/>
        <w:rPr>
          <w:rFonts w:hint="eastAsia" w:ascii="宋体" w:eastAsia="宋体"/>
          <w:color w:val="auto"/>
          <w:lang w:val="en-US" w:eastAsia="zh-CN"/>
        </w:rPr>
      </w:pPr>
      <w:r>
        <w:rPr>
          <w:rFonts w:hint="default" w:ascii="宋体" w:eastAsia="宋体"/>
          <w:color w:val="auto"/>
          <w:lang w:val="en-US" w:eastAsia="zh-CN"/>
        </w:rPr>
        <w:t>废弃物存放容器</w:t>
      </w:r>
      <w:r>
        <w:rPr>
          <w:rFonts w:hint="eastAsia"/>
          <w:color w:val="auto"/>
          <w:lang w:val="en-US" w:eastAsia="zh-CN"/>
        </w:rPr>
        <w:t>。</w:t>
      </w:r>
    </w:p>
    <w:p>
      <w:pPr>
        <w:pStyle w:val="78"/>
        <w:spacing w:before="312" w:after="312"/>
        <w:outlineLvl w:val="0"/>
        <w:rPr>
          <w:rFonts w:hint="eastAsia" w:hAnsi="Times New Roman" w:cs="Times New Roman"/>
          <w:color w:val="auto"/>
          <w:highlight w:val="none"/>
          <w:lang w:val="en-US" w:eastAsia="zh-CN"/>
        </w:rPr>
      </w:pPr>
      <w:bookmarkStart w:id="46" w:name="_Toc32338"/>
      <w:r>
        <w:rPr>
          <w:rFonts w:hint="eastAsia" w:cs="Times New Roman"/>
          <w:color w:val="auto"/>
          <w:highlight w:val="none"/>
          <w:lang w:val="en-US" w:eastAsia="zh-CN"/>
        </w:rPr>
        <w:t>经营服务</w:t>
      </w:r>
      <w:bookmarkEnd w:id="46"/>
    </w:p>
    <w:p>
      <w:pPr>
        <w:pStyle w:val="64"/>
        <w:numPr>
          <w:ilvl w:val="1"/>
          <w:numId w:val="6"/>
        </w:numPr>
        <w:spacing w:before="156" w:after="156"/>
        <w:jc w:val="both"/>
        <w:outlineLvl w:val="1"/>
        <w:rPr>
          <w:rFonts w:hint="eastAsia" w:hAnsi="Times New Roman" w:cs="Times New Roman"/>
          <w:color w:val="auto"/>
          <w:highlight w:val="none"/>
          <w:lang w:val="en-US" w:eastAsia="zh-CN"/>
        </w:rPr>
      </w:pPr>
      <w:bookmarkStart w:id="47" w:name="_Toc5719"/>
      <w:r>
        <w:rPr>
          <w:rFonts w:hint="eastAsia" w:cs="Times New Roman"/>
          <w:color w:val="auto"/>
          <w:highlight w:val="none"/>
          <w:lang w:val="en-US" w:eastAsia="zh-CN"/>
        </w:rPr>
        <w:t>基本要求</w:t>
      </w:r>
      <w:bookmarkEnd w:id="47"/>
    </w:p>
    <w:p>
      <w:pPr>
        <w:pStyle w:val="63"/>
        <w:numPr>
          <w:ilvl w:val="2"/>
          <w:numId w:val="6"/>
        </w:numPr>
        <w:spacing w:before="0" w:beforeLines="0" w:after="0" w:afterLines="0"/>
        <w:jc w:val="both"/>
        <w:rPr>
          <w:rFonts w:hint="eastAsia" w:ascii="宋体" w:hAnsi="Times New Roman"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应符合SB/T 10426、SB/T 10443的相关要求。</w:t>
      </w:r>
    </w:p>
    <w:p>
      <w:pPr>
        <w:pStyle w:val="63"/>
        <w:numPr>
          <w:ilvl w:val="2"/>
          <w:numId w:val="6"/>
        </w:numPr>
        <w:spacing w:before="0" w:beforeLines="0" w:after="0" w:afterLines="0"/>
        <w:jc w:val="both"/>
        <w:rPr>
          <w:rFonts w:hint="default"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应具备合法有效经营证件</w:t>
      </w:r>
      <w:r>
        <w:rPr>
          <w:rFonts w:hint="eastAsia" w:ascii="宋体" w:eastAsia="宋体" w:cs="Times New Roman"/>
          <w:color w:val="auto"/>
          <w:szCs w:val="20"/>
          <w:highlight w:val="none"/>
          <w:lang w:val="en-US" w:eastAsia="zh-CN"/>
        </w:rPr>
        <w:t>如</w:t>
      </w:r>
      <w:r>
        <w:rPr>
          <w:rFonts w:hint="eastAsia" w:ascii="宋体" w:hAnsi="Times New Roman" w:eastAsia="宋体" w:cs="Times New Roman"/>
          <w:color w:val="auto"/>
          <w:szCs w:val="20"/>
          <w:highlight w:val="none"/>
          <w:lang w:val="en-US" w:eastAsia="zh-CN"/>
        </w:rPr>
        <w:t>《营业执照》《餐饮经营许可证》</w:t>
      </w:r>
      <w:r>
        <w:rPr>
          <w:rFonts w:hint="eastAsia" w:ascii="宋体" w:eastAsia="宋体" w:cs="Times New Roman"/>
          <w:color w:val="auto"/>
          <w:szCs w:val="20"/>
          <w:highlight w:val="none"/>
          <w:lang w:val="en-US" w:eastAsia="zh-CN"/>
        </w:rPr>
        <w:t>等，</w:t>
      </w:r>
      <w:r>
        <w:rPr>
          <w:rFonts w:hint="eastAsia" w:ascii="宋体" w:hAnsi="Times New Roman" w:eastAsia="宋体" w:cs="Times New Roman"/>
          <w:color w:val="auto"/>
          <w:szCs w:val="20"/>
          <w:highlight w:val="none"/>
          <w:lang w:val="en-US" w:eastAsia="zh-CN"/>
        </w:rPr>
        <w:t>入网售卖早餐的门店</w:t>
      </w:r>
      <w:r>
        <w:rPr>
          <w:rFonts w:hint="eastAsia" w:ascii="宋体" w:eastAsia="宋体" w:cs="Times New Roman"/>
          <w:color w:val="auto"/>
          <w:szCs w:val="20"/>
          <w:highlight w:val="none"/>
          <w:lang w:val="en-US" w:eastAsia="zh-CN"/>
        </w:rPr>
        <w:t>应</w:t>
      </w:r>
      <w:r>
        <w:rPr>
          <w:rFonts w:hint="eastAsia" w:ascii="宋体" w:hAnsi="Times New Roman" w:eastAsia="宋体" w:cs="Times New Roman"/>
          <w:color w:val="auto"/>
          <w:szCs w:val="20"/>
          <w:highlight w:val="none"/>
          <w:lang w:val="en-US" w:eastAsia="zh-CN"/>
        </w:rPr>
        <w:t>申请《网络</w:t>
      </w:r>
      <w:r>
        <w:rPr>
          <w:rFonts w:hint="eastAsia" w:ascii="宋体" w:eastAsia="宋体" w:cs="Times New Roman"/>
          <w:color w:val="auto"/>
          <w:szCs w:val="20"/>
          <w:highlight w:val="none"/>
          <w:lang w:val="en-US" w:eastAsia="zh-CN"/>
        </w:rPr>
        <w:t>订餐</w:t>
      </w:r>
      <w:r>
        <w:rPr>
          <w:rFonts w:hint="eastAsia" w:ascii="宋体" w:hAnsi="Times New Roman" w:eastAsia="宋体" w:cs="Times New Roman"/>
          <w:color w:val="auto"/>
          <w:szCs w:val="20"/>
          <w:highlight w:val="none"/>
          <w:lang w:val="en-US" w:eastAsia="zh-CN"/>
        </w:rPr>
        <w:t>许可证》</w:t>
      </w:r>
      <w:r>
        <w:rPr>
          <w:rFonts w:hint="eastAsia" w:ascii="宋体" w:eastAsia="宋体" w:cs="Times New Roman"/>
          <w:color w:val="auto"/>
          <w:szCs w:val="20"/>
          <w:highlight w:val="none"/>
          <w:lang w:val="en-US" w:eastAsia="zh-CN"/>
        </w:rPr>
        <w:t>。</w:t>
      </w:r>
      <w:r>
        <w:rPr>
          <w:rFonts w:hint="eastAsia" w:ascii="宋体" w:hAnsi="Times New Roman" w:eastAsia="宋体" w:cs="Times New Roman"/>
          <w:color w:val="auto"/>
          <w:szCs w:val="20"/>
          <w:highlight w:val="none"/>
          <w:lang w:val="en-US" w:eastAsia="zh-CN"/>
        </w:rPr>
        <w:t>经营内容、场所变更，经营主体机构需在变化后</w:t>
      </w:r>
      <w:r>
        <w:rPr>
          <w:rFonts w:hint="eastAsia" w:ascii="宋体" w:eastAsia="宋体" w:cs="Times New Roman"/>
          <w:color w:val="auto"/>
          <w:szCs w:val="20"/>
          <w:highlight w:val="none"/>
          <w:lang w:val="en-US" w:eastAsia="zh-CN"/>
        </w:rPr>
        <w:t>应在</w:t>
      </w:r>
      <w:r>
        <w:rPr>
          <w:rFonts w:hint="eastAsia" w:ascii="宋体" w:hAnsi="Times New Roman" w:eastAsia="宋体" w:cs="Times New Roman"/>
          <w:color w:val="auto"/>
          <w:szCs w:val="20"/>
          <w:highlight w:val="none"/>
          <w:lang w:val="en-US" w:eastAsia="zh-CN"/>
        </w:rPr>
        <w:t>10个工作日内向相关部门提出申请变更</w:t>
      </w:r>
      <w:r>
        <w:rPr>
          <w:rFonts w:hint="eastAsia" w:ascii="宋体" w:eastAsia="宋体" w:cs="Times New Roman"/>
          <w:color w:val="auto"/>
          <w:szCs w:val="20"/>
          <w:highlight w:val="none"/>
          <w:lang w:val="en-US" w:eastAsia="zh-CN"/>
        </w:rPr>
        <w:t>相应证照</w:t>
      </w:r>
      <w:r>
        <w:rPr>
          <w:rFonts w:hint="eastAsia" w:ascii="宋体" w:hAnsi="Times New Roman" w:eastAsia="宋体" w:cs="Times New Roman"/>
          <w:color w:val="auto"/>
          <w:szCs w:val="20"/>
          <w:highlight w:val="none"/>
          <w:lang w:val="en-US" w:eastAsia="zh-CN"/>
        </w:rPr>
        <w:t>。</w:t>
      </w:r>
    </w:p>
    <w:p>
      <w:pPr>
        <w:pStyle w:val="63"/>
        <w:numPr>
          <w:ilvl w:val="2"/>
          <w:numId w:val="6"/>
        </w:numPr>
        <w:spacing w:before="0" w:beforeLines="0" w:after="0" w:afterLines="0"/>
        <w:jc w:val="both"/>
        <w:rPr>
          <w:rFonts w:hint="default"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应建立“日管控、周排查、月调度”的长效管理机制，</w:t>
      </w:r>
      <w:r>
        <w:rPr>
          <w:rFonts w:hint="eastAsia" w:ascii="宋体" w:eastAsia="宋体" w:cs="Times New Roman"/>
          <w:color w:val="auto"/>
          <w:szCs w:val="20"/>
          <w:highlight w:val="none"/>
          <w:lang w:val="en-US" w:eastAsia="zh-CN"/>
        </w:rPr>
        <w:t>定期</w:t>
      </w:r>
      <w:r>
        <w:rPr>
          <w:rFonts w:hint="eastAsia" w:ascii="宋体" w:hAnsi="Times New Roman" w:eastAsia="宋体" w:cs="Times New Roman"/>
          <w:color w:val="auto"/>
          <w:szCs w:val="20"/>
          <w:highlight w:val="none"/>
          <w:lang w:val="en-US" w:eastAsia="zh-CN"/>
        </w:rPr>
        <w:t>对早餐食品安全工作进行自我检查与纠正</w:t>
      </w:r>
      <w:r>
        <w:rPr>
          <w:rFonts w:hint="eastAsia" w:ascii="宋体" w:eastAsia="宋体" w:cs="Times New Roman"/>
          <w:color w:val="auto"/>
          <w:szCs w:val="20"/>
          <w:highlight w:val="none"/>
          <w:lang w:val="en-US" w:eastAsia="zh-CN"/>
        </w:rPr>
        <w:t>，可采取“统一形象、统一采购、统一生产、统一配送、统一价格、统一销售”</w:t>
      </w:r>
      <w:r>
        <w:rPr>
          <w:rFonts w:hint="default" w:ascii="宋体" w:hAnsi="Times New Roman" w:eastAsia="宋体" w:cs="Times New Roman"/>
          <w:color w:val="auto"/>
          <w:szCs w:val="20"/>
          <w:highlight w:val="none"/>
          <w:lang w:val="en-US" w:eastAsia="zh-CN"/>
        </w:rPr>
        <w:t>的六统一管理模式</w:t>
      </w:r>
      <w:r>
        <w:rPr>
          <w:rFonts w:hint="eastAsia" w:ascii="宋体" w:eastAsia="宋体" w:cs="Times New Roman"/>
          <w:color w:val="auto"/>
          <w:szCs w:val="20"/>
          <w:highlight w:val="none"/>
          <w:lang w:val="en-US" w:eastAsia="zh-CN"/>
        </w:rPr>
        <w:t>。</w:t>
      </w:r>
    </w:p>
    <w:p>
      <w:pPr>
        <w:pStyle w:val="64"/>
        <w:numPr>
          <w:ilvl w:val="1"/>
          <w:numId w:val="6"/>
        </w:numPr>
        <w:spacing w:before="156" w:after="156"/>
        <w:jc w:val="both"/>
        <w:outlineLvl w:val="1"/>
        <w:rPr>
          <w:rFonts w:hint="eastAsia" w:hAnsi="Times New Roman" w:cs="Times New Roman"/>
          <w:color w:val="auto"/>
          <w:highlight w:val="none"/>
          <w:lang w:val="en-US" w:eastAsia="zh-CN"/>
        </w:rPr>
      </w:pPr>
      <w:bookmarkStart w:id="48" w:name="_Toc1520"/>
      <w:bookmarkStart w:id="49" w:name="_Toc7085"/>
      <w:r>
        <w:rPr>
          <w:rFonts w:hint="eastAsia" w:hAnsi="Times New Roman" w:cs="Times New Roman"/>
          <w:color w:val="auto"/>
          <w:highlight w:val="none"/>
          <w:lang w:val="en-US" w:eastAsia="zh-CN"/>
        </w:rPr>
        <w:t>人员</w:t>
      </w:r>
      <w:bookmarkEnd w:id="48"/>
      <w:r>
        <w:rPr>
          <w:rFonts w:hint="eastAsia" w:cs="Times New Roman"/>
          <w:color w:val="auto"/>
          <w:highlight w:val="none"/>
          <w:lang w:val="en-US" w:eastAsia="zh-CN"/>
        </w:rPr>
        <w:t>要求</w:t>
      </w:r>
      <w:bookmarkEnd w:id="49"/>
    </w:p>
    <w:p>
      <w:pPr>
        <w:pStyle w:val="63"/>
        <w:numPr>
          <w:ilvl w:val="2"/>
          <w:numId w:val="6"/>
        </w:numPr>
        <w:spacing w:before="0" w:beforeLines="0" w:after="0" w:afterLines="0"/>
        <w:jc w:val="both"/>
        <w:rPr>
          <w:rFonts w:hint="eastAsia" w:ascii="宋体" w:hAnsi="Times New Roman"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应进行上岗前健康状况检查。</w:t>
      </w:r>
      <w:r>
        <w:rPr>
          <w:rFonts w:hint="eastAsia" w:ascii="宋体" w:hAnsi="Times New Roman" w:eastAsia="宋体" w:cs="Times New Roman"/>
          <w:color w:val="auto"/>
          <w:szCs w:val="20"/>
          <w:highlight w:val="none"/>
          <w:lang w:val="en-US" w:eastAsia="zh-CN"/>
        </w:rPr>
        <w:t>从事接触直接入口食品工作的从业人员</w:t>
      </w:r>
      <w:r>
        <w:rPr>
          <w:rFonts w:hint="eastAsia" w:ascii="宋体" w:eastAsia="宋体" w:cs="Times New Roman"/>
          <w:color w:val="auto"/>
          <w:szCs w:val="20"/>
          <w:highlight w:val="none"/>
          <w:lang w:val="en-US" w:eastAsia="zh-CN"/>
        </w:rPr>
        <w:t>（</w:t>
      </w:r>
      <w:r>
        <w:rPr>
          <w:rFonts w:hint="eastAsia" w:ascii="宋体" w:hAnsi="Times New Roman" w:eastAsia="宋体" w:cs="Times New Roman"/>
          <w:color w:val="auto"/>
          <w:szCs w:val="20"/>
          <w:highlight w:val="none"/>
          <w:lang w:val="en-US" w:eastAsia="zh-CN"/>
        </w:rPr>
        <w:t>包括新参加和临时参加工作的从业人员</w:t>
      </w:r>
      <w:r>
        <w:rPr>
          <w:rFonts w:hint="eastAsia" w:ascii="宋体" w:eastAsia="宋体" w:cs="Times New Roman"/>
          <w:color w:val="auto"/>
          <w:szCs w:val="20"/>
          <w:highlight w:val="none"/>
          <w:lang w:val="en-US" w:eastAsia="zh-CN"/>
        </w:rPr>
        <w:t>）</w:t>
      </w:r>
      <w:r>
        <w:rPr>
          <w:rFonts w:hint="eastAsia" w:ascii="宋体" w:hAnsi="Times New Roman" w:eastAsia="宋体" w:cs="Times New Roman"/>
          <w:color w:val="auto"/>
          <w:szCs w:val="20"/>
          <w:highlight w:val="none"/>
          <w:lang w:val="en-US" w:eastAsia="zh-CN"/>
        </w:rPr>
        <w:t>应取得健康证明后方可上岗，并每年进行健康检查取得健康证明，必要时应进行临时健康检查。新上岗人员应经过岗前培训，培训内容包括但不限于岗位职责、运营管理、服务规范、设备操作规程、安全生产管理制度等。</w:t>
      </w:r>
    </w:p>
    <w:p>
      <w:pPr>
        <w:pStyle w:val="63"/>
        <w:numPr>
          <w:ilvl w:val="2"/>
          <w:numId w:val="6"/>
        </w:numPr>
        <w:spacing w:before="0" w:beforeLines="0" w:after="0" w:afterLines="0"/>
        <w:jc w:val="both"/>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应</w:t>
      </w:r>
      <w:r>
        <w:rPr>
          <w:rFonts w:hint="eastAsia" w:ascii="宋体" w:eastAsia="宋体" w:cs="Times New Roman"/>
          <w:color w:val="auto"/>
          <w:szCs w:val="20"/>
          <w:highlight w:val="none"/>
          <w:lang w:val="en-US" w:eastAsia="zh-CN"/>
        </w:rPr>
        <w:t>在工作时间</w:t>
      </w:r>
      <w:r>
        <w:rPr>
          <w:rFonts w:hint="eastAsia" w:ascii="宋体" w:hAnsi="Times New Roman" w:eastAsia="宋体" w:cs="Times New Roman"/>
          <w:color w:val="auto"/>
          <w:szCs w:val="20"/>
          <w:highlight w:val="none"/>
          <w:lang w:val="en-US" w:eastAsia="zh-CN"/>
        </w:rPr>
        <w:t>穿清洁的工作服，</w:t>
      </w:r>
      <w:r>
        <w:rPr>
          <w:rFonts w:hint="eastAsia" w:ascii="宋体" w:eastAsia="宋体" w:cs="Times New Roman"/>
          <w:color w:val="auto"/>
          <w:szCs w:val="20"/>
          <w:highlight w:val="none"/>
          <w:lang w:val="en-US" w:eastAsia="zh-CN"/>
        </w:rPr>
        <w:t>不应</w:t>
      </w:r>
      <w:r>
        <w:rPr>
          <w:rFonts w:hint="eastAsia" w:ascii="宋体" w:hAnsi="Times New Roman" w:eastAsia="宋体" w:cs="Times New Roman"/>
          <w:color w:val="auto"/>
          <w:szCs w:val="20"/>
          <w:highlight w:val="none"/>
          <w:lang w:val="en-US" w:eastAsia="zh-CN"/>
        </w:rPr>
        <w:t>留长指甲、涂指甲油</w:t>
      </w:r>
      <w:r>
        <w:rPr>
          <w:rFonts w:hint="eastAsia" w:ascii="宋体" w:eastAsia="宋体" w:cs="Times New Roman"/>
          <w:color w:val="auto"/>
          <w:szCs w:val="20"/>
          <w:highlight w:val="none"/>
          <w:lang w:val="en-US" w:eastAsia="zh-CN"/>
        </w:rPr>
        <w:t>、</w:t>
      </w:r>
      <w:r>
        <w:rPr>
          <w:rFonts w:hint="eastAsia" w:ascii="宋体" w:hAnsi="Times New Roman" w:eastAsia="宋体" w:cs="Times New Roman"/>
          <w:color w:val="auto"/>
          <w:szCs w:val="20"/>
          <w:highlight w:val="none"/>
          <w:lang w:val="en-US" w:eastAsia="zh-CN"/>
        </w:rPr>
        <w:t>披散头发，</w:t>
      </w:r>
      <w:r>
        <w:rPr>
          <w:rFonts w:hint="eastAsia" w:ascii="宋体" w:eastAsia="宋体" w:cs="Times New Roman"/>
          <w:color w:val="auto"/>
          <w:szCs w:val="20"/>
          <w:highlight w:val="none"/>
          <w:lang w:val="en-US" w:eastAsia="zh-CN"/>
        </w:rPr>
        <w:t>不应外漏</w:t>
      </w:r>
      <w:r>
        <w:rPr>
          <w:rFonts w:hint="eastAsia" w:ascii="宋体" w:hAnsi="Times New Roman" w:eastAsia="宋体" w:cs="Times New Roman"/>
          <w:color w:val="auto"/>
          <w:szCs w:val="20"/>
          <w:highlight w:val="none"/>
          <w:lang w:val="en-US" w:eastAsia="zh-CN"/>
        </w:rPr>
        <w:t>手表、手镯、手链、手串、戒指、耳环等饰物。工作服应定点存放定期</w:t>
      </w:r>
      <w:r>
        <w:rPr>
          <w:rFonts w:hint="eastAsia" w:ascii="宋体" w:eastAsia="宋体" w:cs="Times New Roman"/>
          <w:color w:val="auto"/>
          <w:szCs w:val="20"/>
          <w:highlight w:val="none"/>
          <w:lang w:val="en-US" w:eastAsia="zh-CN"/>
        </w:rPr>
        <w:t>更换</w:t>
      </w:r>
      <w:r>
        <w:rPr>
          <w:rFonts w:hint="eastAsia" w:ascii="宋体" w:hAnsi="Times New Roman" w:eastAsia="宋体" w:cs="Times New Roman"/>
          <w:color w:val="auto"/>
          <w:szCs w:val="20"/>
          <w:highlight w:val="none"/>
          <w:lang w:val="en-US" w:eastAsia="zh-CN"/>
        </w:rPr>
        <w:t>清洗，从事接触直接入口食品工作人员工作服宜每天清洗更换。</w:t>
      </w:r>
    </w:p>
    <w:p>
      <w:pPr>
        <w:pStyle w:val="63"/>
        <w:numPr>
          <w:ilvl w:val="2"/>
          <w:numId w:val="6"/>
        </w:numPr>
        <w:spacing w:before="0" w:beforeLines="0" w:after="0" w:afterLines="0"/>
        <w:jc w:val="both"/>
        <w:rPr>
          <w:rFonts w:hint="eastAsia" w:ascii="宋体" w:hAnsi="Times New Roman"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加工制作过程中应保持手部清洁，</w:t>
      </w:r>
      <w:r>
        <w:rPr>
          <w:rFonts w:hint="eastAsia" w:ascii="宋体" w:hAnsi="Times New Roman" w:eastAsia="宋体" w:cs="Times New Roman"/>
          <w:color w:val="auto"/>
          <w:szCs w:val="20"/>
          <w:highlight w:val="none"/>
          <w:lang w:val="en-US" w:eastAsia="zh-CN"/>
        </w:rPr>
        <w:t>出现下列情形时，应重新洗净手部</w:t>
      </w:r>
      <w:r>
        <w:rPr>
          <w:rFonts w:hint="eastAsia" w:ascii="宋体" w:eastAsia="宋体" w:cs="Times New Roman"/>
          <w:color w:val="auto"/>
          <w:szCs w:val="20"/>
          <w:highlight w:val="none"/>
          <w:lang w:val="en-US" w:eastAsia="zh-CN"/>
        </w:rPr>
        <w:t>：</w:t>
      </w:r>
    </w:p>
    <w:p>
      <w:pPr>
        <w:pStyle w:val="102"/>
        <w:bidi w:val="0"/>
        <w:rPr>
          <w:rFonts w:hint="eastAsia"/>
          <w:color w:val="auto"/>
          <w:lang w:val="en-US" w:eastAsia="zh-CN"/>
        </w:rPr>
      </w:pPr>
      <w:r>
        <w:rPr>
          <w:rFonts w:hint="eastAsia" w:ascii="宋体" w:hAnsi="Times New Roman" w:eastAsia="宋体" w:cs="Times New Roman"/>
          <w:color w:val="auto"/>
          <w:szCs w:val="20"/>
          <w:highlight w:val="none"/>
          <w:lang w:val="en-US" w:eastAsia="zh-CN"/>
        </w:rPr>
        <w:t>佩戴手套</w:t>
      </w:r>
      <w:r>
        <w:rPr>
          <w:rFonts w:hint="eastAsia" w:cs="Times New Roman"/>
          <w:color w:val="auto"/>
          <w:szCs w:val="20"/>
          <w:highlight w:val="none"/>
          <w:lang w:val="en-US" w:eastAsia="zh-CN"/>
        </w:rPr>
        <w:t>前；</w:t>
      </w:r>
    </w:p>
    <w:p>
      <w:pPr>
        <w:pStyle w:val="102"/>
        <w:bidi w:val="0"/>
        <w:rPr>
          <w:rFonts w:hint="eastAsia"/>
          <w:color w:val="auto"/>
          <w:lang w:val="en-US" w:eastAsia="zh-CN"/>
        </w:rPr>
      </w:pPr>
      <w:r>
        <w:rPr>
          <w:rFonts w:hint="eastAsia"/>
          <w:color w:val="auto"/>
          <w:lang w:val="en-US" w:eastAsia="zh-CN"/>
        </w:rPr>
        <w:t>加工制作不同存在形式的食品前；</w:t>
      </w:r>
    </w:p>
    <w:p>
      <w:pPr>
        <w:pStyle w:val="102"/>
        <w:bidi w:val="0"/>
        <w:rPr>
          <w:rFonts w:hint="eastAsia"/>
          <w:color w:val="auto"/>
          <w:lang w:val="en-US" w:eastAsia="zh-CN"/>
        </w:rPr>
      </w:pPr>
      <w:r>
        <w:rPr>
          <w:rFonts w:hint="eastAsia"/>
          <w:color w:val="auto"/>
          <w:lang w:val="en-US" w:eastAsia="zh-CN"/>
        </w:rPr>
        <w:t>清理环境卫生、接触化学物品或不洁物品（落地的食品、受到污染的工具容器和设备、餐厨废弃物、钱币、手机等）后；</w:t>
      </w:r>
    </w:p>
    <w:p>
      <w:pPr>
        <w:pStyle w:val="102"/>
        <w:bidi w:val="0"/>
        <w:rPr>
          <w:rFonts w:hint="eastAsia"/>
          <w:color w:val="auto"/>
          <w:lang w:val="en-US" w:eastAsia="zh-CN"/>
        </w:rPr>
      </w:pPr>
      <w:r>
        <w:rPr>
          <w:rFonts w:hint="eastAsia"/>
          <w:color w:val="auto"/>
          <w:lang w:val="en-US" w:eastAsia="zh-CN"/>
        </w:rPr>
        <w:t>使用卫生间、用餐、饮水、吸烟等可能会污染手部的活动后；</w:t>
      </w:r>
    </w:p>
    <w:p>
      <w:pPr>
        <w:pStyle w:val="102"/>
        <w:bidi w:val="0"/>
        <w:rPr>
          <w:rFonts w:hint="eastAsia"/>
          <w:color w:val="auto"/>
          <w:lang w:val="en-US" w:eastAsia="zh-CN"/>
        </w:rPr>
      </w:pPr>
      <w:r>
        <w:rPr>
          <w:rFonts w:hint="eastAsia"/>
          <w:color w:val="auto"/>
          <w:lang w:val="en-US" w:eastAsia="zh-CN"/>
        </w:rPr>
        <w:t>咳嗽、打喷嚏及擤鼻涕后；</w:t>
      </w:r>
    </w:p>
    <w:p>
      <w:pPr>
        <w:pStyle w:val="102"/>
        <w:bidi w:val="0"/>
        <w:rPr>
          <w:rFonts w:hint="eastAsia"/>
          <w:color w:val="auto"/>
          <w:lang w:val="en-US" w:eastAsia="zh-CN"/>
        </w:rPr>
      </w:pPr>
      <w:r>
        <w:rPr>
          <w:rFonts w:hint="eastAsia"/>
          <w:color w:val="auto"/>
          <w:lang w:val="en-US" w:eastAsia="zh-CN"/>
        </w:rPr>
        <w:t>从事接触直接入口食品工作的从业人员，加工制作食品前应净手部并进行手部消毒。</w:t>
      </w:r>
    </w:p>
    <w:p>
      <w:pPr>
        <w:pStyle w:val="63"/>
        <w:numPr>
          <w:ilvl w:val="2"/>
          <w:numId w:val="6"/>
        </w:numPr>
        <w:spacing w:before="0" w:beforeLines="0" w:after="0" w:afterLines="0"/>
        <w:jc w:val="both"/>
        <w:rPr>
          <w:rFonts w:hint="eastAsia"/>
          <w:color w:val="auto"/>
          <w:lang w:val="en-US" w:eastAsia="zh-CN"/>
        </w:rPr>
      </w:pPr>
      <w:r>
        <w:rPr>
          <w:rFonts w:hint="eastAsia" w:ascii="宋体" w:hAnsi="Times New Roman" w:eastAsia="宋体" w:cs="Times New Roman"/>
          <w:color w:val="auto"/>
          <w:szCs w:val="20"/>
          <w:highlight w:val="none"/>
          <w:lang w:val="en-US" w:eastAsia="zh-CN"/>
        </w:rPr>
        <w:t>应每年对其从业人员进行一次食品安全培训考核</w:t>
      </w:r>
      <w:r>
        <w:rPr>
          <w:rFonts w:hint="eastAsia" w:ascii="宋体" w:eastAsia="宋体" w:cs="Times New Roman"/>
          <w:color w:val="auto"/>
          <w:szCs w:val="20"/>
          <w:highlight w:val="none"/>
          <w:lang w:val="en-US" w:eastAsia="zh-CN"/>
        </w:rPr>
        <w:t>，</w:t>
      </w:r>
      <w:r>
        <w:rPr>
          <w:rFonts w:hint="eastAsia" w:ascii="宋体" w:hAnsi="Times New Roman" w:eastAsia="宋体" w:cs="Times New Roman"/>
          <w:color w:val="auto"/>
          <w:szCs w:val="20"/>
          <w:highlight w:val="none"/>
          <w:lang w:val="en-US" w:eastAsia="zh-CN"/>
        </w:rPr>
        <w:t>从业人员应在食品安全培训考核合格后方可上岗。</w:t>
      </w:r>
    </w:p>
    <w:p>
      <w:pPr>
        <w:pStyle w:val="64"/>
        <w:numPr>
          <w:ilvl w:val="1"/>
          <w:numId w:val="6"/>
        </w:numPr>
        <w:spacing w:before="156" w:after="156"/>
        <w:jc w:val="both"/>
        <w:outlineLvl w:val="1"/>
        <w:rPr>
          <w:rFonts w:hint="eastAsia" w:hAnsi="Times New Roman" w:cs="Times New Roman"/>
          <w:color w:val="auto"/>
          <w:highlight w:val="none"/>
          <w:lang w:val="en-US" w:eastAsia="zh-CN"/>
        </w:rPr>
      </w:pPr>
      <w:bookmarkStart w:id="50" w:name="_Toc32616"/>
      <w:r>
        <w:rPr>
          <w:rFonts w:hint="eastAsia" w:cs="Times New Roman"/>
          <w:color w:val="auto"/>
          <w:highlight w:val="none"/>
          <w:lang w:val="en-US" w:eastAsia="zh-CN"/>
        </w:rPr>
        <w:t>店内外环境要求</w:t>
      </w:r>
      <w:bookmarkEnd w:id="50"/>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店外应做到门前三包，屋顶应整洁、外立面无破损。</w:t>
      </w:r>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店内墙壁、天花板保持清洁，无脱落、起壳现象，无蜘蛛网、霉斑及明显积垢，墙裙瓷砖无缺损，门窗保持清洁。</w:t>
      </w:r>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厨房内外环境整治，地面平整，无明显积水、油污及污垢，地砖无缺损，排水沟及时清理，保持通畅。餐桌椅、餐桌、菜单、调料瓶、筷筒等应无破损、无油污、无异味。</w:t>
      </w:r>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default" w:ascii="宋体" w:eastAsia="宋体" w:cs="Times New Roman"/>
          <w:color w:val="auto"/>
          <w:szCs w:val="20"/>
          <w:highlight w:val="none"/>
          <w:lang w:val="en-US" w:eastAsia="zh-CN"/>
        </w:rPr>
        <w:t>卫生间应设置独立的排风装置，排风口不应直对食品处理区或就餐区。</w:t>
      </w:r>
    </w:p>
    <w:p>
      <w:pPr>
        <w:pStyle w:val="22"/>
        <w:numPr>
          <w:ilvl w:val="2"/>
          <w:numId w:val="6"/>
        </w:numPr>
        <w:ind w:firstLine="0" w:firstLineChars="0"/>
        <w:rPr>
          <w:rFonts w:hint="eastAsia" w:ascii="宋体" w:eastAsia="宋体" w:cs="Times New Roman"/>
          <w:color w:val="auto"/>
          <w:szCs w:val="20"/>
          <w:highlight w:val="none"/>
          <w:lang w:val="en-US" w:eastAsia="zh-CN"/>
        </w:rPr>
      </w:pPr>
      <w:r>
        <w:rPr>
          <w:rFonts w:hint="eastAsia" w:cs="Times New Roman"/>
          <w:color w:val="auto"/>
          <w:szCs w:val="20"/>
          <w:highlight w:val="none"/>
          <w:lang w:val="en-US" w:eastAsia="zh-CN"/>
        </w:rPr>
        <w:t>不应重复使用一次性用品。</w:t>
      </w:r>
      <w:r>
        <w:rPr>
          <w:rFonts w:hint="default" w:ascii="宋体" w:eastAsia="宋体" w:cs="Times New Roman"/>
          <w:color w:val="auto"/>
          <w:szCs w:val="20"/>
          <w:highlight w:val="none"/>
          <w:lang w:val="en-US" w:eastAsia="zh-CN"/>
        </w:rPr>
        <w:t>餐饮具</w:t>
      </w:r>
      <w:r>
        <w:rPr>
          <w:rFonts w:hint="eastAsia" w:ascii="宋体" w:eastAsia="宋体" w:cs="Times New Roman"/>
          <w:color w:val="auto"/>
          <w:szCs w:val="20"/>
          <w:highlight w:val="none"/>
          <w:lang w:val="en-US" w:eastAsia="zh-CN"/>
        </w:rPr>
        <w:t>使用前应进行消毒处理，消毒应符合</w:t>
      </w:r>
      <w:r>
        <w:rPr>
          <w:rFonts w:hint="default" w:ascii="宋体" w:eastAsia="宋体" w:cs="Times New Roman"/>
          <w:color w:val="auto"/>
          <w:szCs w:val="20"/>
          <w:highlight w:val="none"/>
          <w:lang w:val="en-US" w:eastAsia="zh-CN"/>
        </w:rPr>
        <w:t>GB 14934的相关要求</w:t>
      </w:r>
      <w:r>
        <w:rPr>
          <w:rFonts w:hint="eastAsia" w:ascii="宋体" w:eastAsia="宋体" w:cs="Times New Roman"/>
          <w:color w:val="auto"/>
          <w:szCs w:val="20"/>
          <w:highlight w:val="none"/>
          <w:lang w:val="en-US" w:eastAsia="zh-CN"/>
        </w:rPr>
        <w:t>。</w:t>
      </w:r>
    </w:p>
    <w:p>
      <w:pPr>
        <w:pStyle w:val="64"/>
        <w:numPr>
          <w:ilvl w:val="1"/>
          <w:numId w:val="6"/>
        </w:numPr>
        <w:spacing w:before="156" w:after="156"/>
        <w:jc w:val="both"/>
        <w:outlineLvl w:val="1"/>
        <w:rPr>
          <w:rFonts w:hint="eastAsia" w:cs="Times New Roman"/>
          <w:color w:val="auto"/>
          <w:highlight w:val="none"/>
          <w:lang w:val="en-US" w:eastAsia="zh-CN"/>
        </w:rPr>
      </w:pPr>
      <w:bookmarkStart w:id="51" w:name="_Toc9521"/>
      <w:r>
        <w:rPr>
          <w:rFonts w:hint="eastAsia" w:cs="Times New Roman"/>
          <w:color w:val="auto"/>
          <w:highlight w:val="none"/>
          <w:lang w:val="en-US" w:eastAsia="zh-CN"/>
        </w:rPr>
        <w:t>原料管理</w:t>
      </w:r>
      <w:bookmarkEnd w:id="51"/>
    </w:p>
    <w:p>
      <w:pPr>
        <w:pStyle w:val="63"/>
        <w:bidi w:val="0"/>
        <w:rPr>
          <w:rFonts w:hint="eastAsia"/>
          <w:color w:val="auto"/>
          <w:lang w:val="en-US" w:eastAsia="zh-CN"/>
        </w:rPr>
      </w:pPr>
      <w:r>
        <w:rPr>
          <w:rFonts w:hint="eastAsia"/>
          <w:color w:val="auto"/>
          <w:lang w:val="en-US" w:eastAsia="zh-CN"/>
        </w:rPr>
        <w:t>采购管理</w:t>
      </w:r>
    </w:p>
    <w:p>
      <w:pPr>
        <w:pStyle w:val="63"/>
        <w:numPr>
          <w:ilvl w:val="2"/>
          <w:numId w:val="6"/>
        </w:numPr>
        <w:spacing w:before="0" w:beforeLines="0" w:after="0" w:afterLines="0"/>
        <w:jc w:val="both"/>
        <w:rPr>
          <w:rFonts w:hint="eastAsia"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应选择具有合法资质的供应商进行原料采购，供应商资质应符合SB/T 10443的相关要求。</w:t>
      </w:r>
    </w:p>
    <w:p>
      <w:pPr>
        <w:pStyle w:val="63"/>
        <w:numPr>
          <w:ilvl w:val="2"/>
          <w:numId w:val="6"/>
        </w:numPr>
        <w:spacing w:before="0" w:beforeLines="0" w:after="0" w:afterLines="0"/>
        <w:jc w:val="both"/>
        <w:rPr>
          <w:rFonts w:hint="eastAsia"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应建立供应商管理评估机制，对供应商资质、产品品质、生产工艺流程、价格、供货能力等方面进行评估。应定期对供应商进行考核，对不合格供应商取消供应资格。</w:t>
      </w:r>
    </w:p>
    <w:p>
      <w:pPr>
        <w:pStyle w:val="63"/>
        <w:bidi w:val="0"/>
        <w:rPr>
          <w:rFonts w:hint="eastAsia"/>
          <w:color w:val="auto"/>
          <w:lang w:val="en-US" w:eastAsia="zh-CN"/>
        </w:rPr>
      </w:pPr>
      <w:r>
        <w:rPr>
          <w:rFonts w:hint="eastAsia"/>
          <w:color w:val="auto"/>
          <w:lang w:val="en-US" w:eastAsia="zh-CN"/>
        </w:rPr>
        <w:t>进货查验</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应根据不同进货渠道对供货商进行查验：</w:t>
      </w:r>
    </w:p>
    <w:p>
      <w:pPr>
        <w:pStyle w:val="102"/>
        <w:bidi w:val="0"/>
        <w:rPr>
          <w:rFonts w:hint="eastAsia"/>
          <w:color w:val="auto"/>
          <w:lang w:val="en-US" w:eastAsia="zh-CN"/>
        </w:rPr>
      </w:pPr>
      <w:r>
        <w:rPr>
          <w:rFonts w:hint="eastAsia"/>
          <w:color w:val="auto"/>
          <w:lang w:val="en-US" w:eastAsia="zh-CN"/>
        </w:rPr>
        <w:t>从食品生产者采购的，应查验其食品生产许可证和产品合格证明文件等；</w:t>
      </w:r>
    </w:p>
    <w:p>
      <w:pPr>
        <w:pStyle w:val="102"/>
        <w:bidi w:val="0"/>
        <w:rPr>
          <w:rFonts w:hint="eastAsia"/>
          <w:color w:val="auto"/>
          <w:lang w:val="en-US" w:eastAsia="zh-CN"/>
        </w:rPr>
      </w:pPr>
      <w:r>
        <w:rPr>
          <w:rFonts w:hint="eastAsia"/>
          <w:color w:val="auto"/>
          <w:lang w:val="en-US" w:eastAsia="zh-CN"/>
        </w:rPr>
        <w:t>采购食品添加剂、食品相关产品的，查验其营业执照和产品合格证明文件等；</w:t>
      </w:r>
    </w:p>
    <w:p>
      <w:pPr>
        <w:pStyle w:val="102"/>
        <w:bidi w:val="0"/>
        <w:rPr>
          <w:rFonts w:hint="eastAsia"/>
          <w:color w:val="auto"/>
          <w:lang w:val="en-US" w:eastAsia="zh-CN"/>
        </w:rPr>
      </w:pPr>
      <w:r>
        <w:rPr>
          <w:rFonts w:hint="eastAsia"/>
          <w:color w:val="auto"/>
          <w:lang w:val="en-US" w:eastAsia="zh-CN"/>
        </w:rPr>
        <w:t>从食品销售者（商场、超市、便利店等）采购的，查验其食品经营许可证等；</w:t>
      </w:r>
    </w:p>
    <w:p>
      <w:pPr>
        <w:pStyle w:val="102"/>
        <w:bidi w:val="0"/>
        <w:rPr>
          <w:rFonts w:hint="eastAsia"/>
          <w:color w:val="auto"/>
          <w:lang w:val="en-US" w:eastAsia="zh-CN"/>
        </w:rPr>
      </w:pPr>
      <w:r>
        <w:rPr>
          <w:rFonts w:hint="eastAsia"/>
          <w:color w:val="auto"/>
          <w:lang w:val="en-US" w:eastAsia="zh-CN"/>
        </w:rPr>
        <w:t>从食用农产品个体生产者直接采购的，查验其有效身份证明；</w:t>
      </w:r>
    </w:p>
    <w:p>
      <w:pPr>
        <w:pStyle w:val="102"/>
        <w:bidi w:val="0"/>
        <w:rPr>
          <w:rFonts w:hint="eastAsia"/>
          <w:color w:val="auto"/>
          <w:lang w:val="en-US" w:eastAsia="zh-CN"/>
        </w:rPr>
      </w:pPr>
      <w:r>
        <w:rPr>
          <w:rFonts w:hint="eastAsia"/>
          <w:color w:val="auto"/>
          <w:lang w:val="en-US" w:eastAsia="zh-CN"/>
        </w:rPr>
        <w:t>从食用农产品生产企业和农民专业合作经济组织采购的，查验其社会信用代码和产品合格证明文件；</w:t>
      </w:r>
    </w:p>
    <w:p>
      <w:pPr>
        <w:pStyle w:val="102"/>
        <w:bidi w:val="0"/>
        <w:rPr>
          <w:rFonts w:hint="eastAsia"/>
          <w:color w:val="auto"/>
          <w:lang w:val="en-US" w:eastAsia="zh-CN"/>
        </w:rPr>
      </w:pPr>
      <w:r>
        <w:rPr>
          <w:rFonts w:hint="eastAsia"/>
          <w:color w:val="auto"/>
          <w:lang w:val="en-US" w:eastAsia="zh-CN"/>
        </w:rPr>
        <w:t>从集中交易市场采购的，索取并留存市场管理部门或经营者加盖公章（或负责人签字）的购货凭证；</w:t>
      </w:r>
    </w:p>
    <w:p>
      <w:pPr>
        <w:pStyle w:val="102"/>
        <w:bidi w:val="0"/>
        <w:rPr>
          <w:rFonts w:hint="eastAsia"/>
          <w:color w:val="auto"/>
          <w:lang w:val="en-US" w:eastAsia="zh-CN"/>
        </w:rPr>
      </w:pPr>
      <w:r>
        <w:rPr>
          <w:rFonts w:hint="eastAsia"/>
          <w:color w:val="auto"/>
          <w:lang w:val="en-US" w:eastAsia="zh-CN"/>
        </w:rPr>
        <w:t>采购畜禽肉类的，还应查验动物产品检疫合格证明；采购猪肉的，还应查验肉品品质检验合格证明。</w:t>
      </w:r>
    </w:p>
    <w:p>
      <w:pPr>
        <w:pStyle w:val="106"/>
        <w:bidi w:val="0"/>
        <w:rPr>
          <w:rFonts w:hint="eastAsia"/>
          <w:color w:val="auto"/>
          <w:lang w:val="en-US" w:eastAsia="zh-CN"/>
        </w:rPr>
      </w:pPr>
      <w:r>
        <w:rPr>
          <w:rFonts w:hint="eastAsia"/>
          <w:color w:val="auto"/>
          <w:lang w:val="en-US" w:eastAsia="zh-CN"/>
        </w:rPr>
        <w:t>原料入库时应查验其外观和温度、气味、新鲜度是否合格。</w:t>
      </w:r>
    </w:p>
    <w:p>
      <w:pPr>
        <w:pStyle w:val="63"/>
        <w:bidi w:val="0"/>
        <w:rPr>
          <w:rFonts w:hint="eastAsia"/>
          <w:color w:val="auto"/>
          <w:lang w:val="en-US" w:eastAsia="zh-CN"/>
        </w:rPr>
      </w:pPr>
      <w:r>
        <w:rPr>
          <w:rFonts w:hint="eastAsia"/>
          <w:color w:val="auto"/>
          <w:lang w:val="en-US" w:eastAsia="zh-CN"/>
        </w:rPr>
        <w:t>原料贮存</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应分类、分架、分区存放，存放货架距离墙壁和地面均在10 cm以上。同一货位上堆放的高度和宽度宜保持一致。</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应遵循先进先出原则，及时销毁过期或变质的原料。</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贮存场所、设备应当保持清洁，无霉斑、鼠迹、苍蝇、蟑螂，不应存放有毒、有害物品（如杀鼠剂、杀虫剂、洗涤剂、消毒剂等）及个人生活用品。</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采用冷藏、冷冻贮存时应符合下列要求：</w:t>
      </w:r>
    </w:p>
    <w:p>
      <w:pPr>
        <w:pStyle w:val="102"/>
        <w:bidi w:val="0"/>
        <w:rPr>
          <w:rFonts w:hint="eastAsia"/>
          <w:color w:val="auto"/>
          <w:lang w:val="en-US" w:eastAsia="zh-CN"/>
        </w:rPr>
      </w:pPr>
      <w:r>
        <w:rPr>
          <w:rFonts w:hint="eastAsia"/>
          <w:color w:val="auto"/>
          <w:lang w:val="en-US" w:eastAsia="zh-CN"/>
        </w:rPr>
        <w:t>原料、半成品、成品应分开，不应在同室内存放；</w:t>
      </w:r>
    </w:p>
    <w:p>
      <w:pPr>
        <w:pStyle w:val="102"/>
        <w:bidi w:val="0"/>
        <w:rPr>
          <w:rFonts w:hint="eastAsia"/>
          <w:color w:val="auto"/>
          <w:lang w:val="en-US" w:eastAsia="zh-CN"/>
        </w:rPr>
      </w:pPr>
      <w:r>
        <w:rPr>
          <w:rFonts w:hint="eastAsia"/>
          <w:color w:val="auto"/>
          <w:lang w:val="en-US" w:eastAsia="zh-CN"/>
        </w:rPr>
        <w:t>冷藏、冷冻柜（库）宜设外显式温度（指示）计，并定期校验；</w:t>
      </w:r>
    </w:p>
    <w:p>
      <w:pPr>
        <w:pStyle w:val="102"/>
        <w:bidi w:val="0"/>
        <w:rPr>
          <w:rFonts w:hint="eastAsia"/>
          <w:color w:val="auto"/>
          <w:lang w:val="en-US" w:eastAsia="zh-CN"/>
        </w:rPr>
      </w:pPr>
      <w:r>
        <w:rPr>
          <w:rFonts w:hint="eastAsia"/>
          <w:color w:val="auto"/>
          <w:lang w:val="en-US" w:eastAsia="zh-CN"/>
        </w:rPr>
        <w:t>植物性食品、动物性食品和水产品分类摆放。</w:t>
      </w:r>
    </w:p>
    <w:p>
      <w:pPr>
        <w:pStyle w:val="64"/>
        <w:numPr>
          <w:ilvl w:val="1"/>
          <w:numId w:val="6"/>
        </w:numPr>
        <w:spacing w:before="156" w:after="156"/>
        <w:jc w:val="both"/>
        <w:outlineLvl w:val="1"/>
        <w:rPr>
          <w:rFonts w:hint="eastAsia" w:cs="Times New Roman"/>
          <w:color w:val="auto"/>
          <w:highlight w:val="none"/>
          <w:lang w:val="en-US" w:eastAsia="zh-CN"/>
        </w:rPr>
      </w:pPr>
      <w:bookmarkStart w:id="52" w:name="_Toc31837"/>
      <w:r>
        <w:rPr>
          <w:rFonts w:hint="eastAsia" w:cs="Times New Roman"/>
          <w:color w:val="auto"/>
          <w:highlight w:val="none"/>
          <w:lang w:val="en-US" w:eastAsia="zh-CN"/>
        </w:rPr>
        <w:t>加工制作</w:t>
      </w:r>
      <w:bookmarkEnd w:id="52"/>
    </w:p>
    <w:p>
      <w:pPr>
        <w:pStyle w:val="63"/>
        <w:bidi w:val="0"/>
        <w:rPr>
          <w:rFonts w:hint="eastAsia"/>
          <w:color w:val="auto"/>
          <w:lang w:val="en-US" w:eastAsia="zh-CN"/>
        </w:rPr>
      </w:pPr>
      <w:r>
        <w:rPr>
          <w:rFonts w:hint="eastAsia"/>
          <w:color w:val="auto"/>
          <w:lang w:val="en-US" w:eastAsia="zh-CN"/>
        </w:rPr>
        <w:t>基本要求</w:t>
      </w:r>
    </w:p>
    <w:p>
      <w:pPr>
        <w:pStyle w:val="22"/>
        <w:bidi w:val="0"/>
        <w:rPr>
          <w:rFonts w:hint="default"/>
          <w:color w:val="auto"/>
          <w:lang w:val="en-US" w:eastAsia="zh-CN"/>
        </w:rPr>
      </w:pPr>
      <w:r>
        <w:rPr>
          <w:rFonts w:hint="eastAsia"/>
          <w:color w:val="auto"/>
          <w:lang w:val="en-US" w:eastAsia="zh-CN"/>
        </w:rPr>
        <w:t>早餐食品制作</w:t>
      </w:r>
      <w:r>
        <w:rPr>
          <w:rFonts w:hint="default"/>
          <w:color w:val="auto"/>
          <w:lang w:val="en-US" w:eastAsia="zh-CN"/>
        </w:rPr>
        <w:t>过程中，应采取</w:t>
      </w:r>
      <w:r>
        <w:rPr>
          <w:rFonts w:hint="eastAsia"/>
          <w:color w:val="auto"/>
          <w:lang w:val="en-US" w:eastAsia="zh-CN"/>
        </w:rPr>
        <w:t>包括但不限于</w:t>
      </w:r>
      <w:r>
        <w:rPr>
          <w:rFonts w:hint="default"/>
          <w:color w:val="auto"/>
          <w:lang w:val="en-US" w:eastAsia="zh-CN"/>
        </w:rPr>
        <w:t>下列措施：</w:t>
      </w:r>
    </w:p>
    <w:p>
      <w:pPr>
        <w:pStyle w:val="102"/>
        <w:bidi w:val="0"/>
        <w:rPr>
          <w:rFonts w:hint="default"/>
          <w:color w:val="auto"/>
          <w:lang w:val="en-US" w:eastAsia="zh-CN"/>
        </w:rPr>
      </w:pPr>
      <w:r>
        <w:rPr>
          <w:rFonts w:hint="default"/>
          <w:color w:val="auto"/>
          <w:lang w:val="en-US" w:eastAsia="zh-CN"/>
        </w:rPr>
        <w:t>不同类型</w:t>
      </w:r>
      <w:r>
        <w:rPr>
          <w:rFonts w:hint="eastAsia"/>
          <w:color w:val="auto"/>
          <w:lang w:val="en-US" w:eastAsia="zh-CN"/>
        </w:rPr>
        <w:t>早餐</w:t>
      </w:r>
      <w:r>
        <w:rPr>
          <w:rFonts w:hint="default"/>
          <w:color w:val="auto"/>
          <w:lang w:val="en-US" w:eastAsia="zh-CN"/>
        </w:rPr>
        <w:t>原料、半成品、成品</w:t>
      </w:r>
      <w:r>
        <w:rPr>
          <w:rFonts w:hint="eastAsia"/>
          <w:color w:val="auto"/>
          <w:lang w:val="en-US" w:eastAsia="zh-CN"/>
        </w:rPr>
        <w:t>应</w:t>
      </w:r>
      <w:r>
        <w:rPr>
          <w:rFonts w:hint="default"/>
          <w:color w:val="auto"/>
          <w:lang w:val="en-US" w:eastAsia="zh-CN"/>
        </w:rPr>
        <w:t>分开存放；</w:t>
      </w:r>
    </w:p>
    <w:p>
      <w:pPr>
        <w:pStyle w:val="102"/>
        <w:bidi w:val="0"/>
        <w:rPr>
          <w:rFonts w:hint="default"/>
          <w:color w:val="auto"/>
          <w:lang w:val="en-US" w:eastAsia="zh-CN"/>
        </w:rPr>
      </w:pPr>
      <w:r>
        <w:rPr>
          <w:rFonts w:hint="eastAsia"/>
          <w:color w:val="auto"/>
          <w:lang w:val="en-US" w:eastAsia="zh-CN"/>
        </w:rPr>
        <w:t>不应将</w:t>
      </w:r>
      <w:r>
        <w:rPr>
          <w:rFonts w:hint="default"/>
          <w:color w:val="auto"/>
          <w:lang w:val="en-US" w:eastAsia="zh-CN"/>
        </w:rPr>
        <w:t>接触</w:t>
      </w:r>
      <w:r>
        <w:rPr>
          <w:rFonts w:hint="eastAsia"/>
          <w:color w:val="auto"/>
          <w:lang w:val="en-US" w:eastAsia="zh-CN"/>
        </w:rPr>
        <w:t>早餐食品</w:t>
      </w:r>
      <w:r>
        <w:rPr>
          <w:rFonts w:hint="default"/>
          <w:color w:val="auto"/>
          <w:lang w:val="en-US" w:eastAsia="zh-CN"/>
        </w:rPr>
        <w:t>的容器和工具直接放置在地面上或者接触不洁物；</w:t>
      </w:r>
    </w:p>
    <w:p>
      <w:pPr>
        <w:pStyle w:val="102"/>
        <w:bidi w:val="0"/>
        <w:rPr>
          <w:rFonts w:hint="default"/>
          <w:color w:val="auto"/>
          <w:lang w:val="en-US" w:eastAsia="zh-CN"/>
        </w:rPr>
      </w:pPr>
      <w:r>
        <w:rPr>
          <w:rFonts w:hint="eastAsia"/>
          <w:color w:val="auto"/>
          <w:lang w:val="en-US" w:eastAsia="zh-CN"/>
        </w:rPr>
        <w:t>不应</w:t>
      </w:r>
      <w:r>
        <w:rPr>
          <w:rFonts w:hint="default"/>
          <w:color w:val="auto"/>
          <w:lang w:val="en-US" w:eastAsia="zh-CN"/>
        </w:rPr>
        <w:t>从事可能污染食品的活动；</w:t>
      </w:r>
    </w:p>
    <w:p>
      <w:pPr>
        <w:pStyle w:val="102"/>
        <w:bidi w:val="0"/>
        <w:rPr>
          <w:rFonts w:hint="eastAsia"/>
          <w:color w:val="auto"/>
          <w:lang w:val="en-US" w:eastAsia="zh-CN"/>
        </w:rPr>
      </w:pPr>
      <w:r>
        <w:rPr>
          <w:rFonts w:hint="eastAsia"/>
          <w:color w:val="auto"/>
          <w:lang w:val="en-US" w:eastAsia="zh-CN"/>
        </w:rPr>
        <w:t>不应</w:t>
      </w:r>
      <w:r>
        <w:rPr>
          <w:rFonts w:hint="default"/>
          <w:color w:val="auto"/>
          <w:lang w:val="en-US" w:eastAsia="zh-CN"/>
        </w:rPr>
        <w:t>在卫生间、更衣区等</w:t>
      </w:r>
      <w:r>
        <w:rPr>
          <w:rFonts w:hint="eastAsia"/>
          <w:color w:val="auto"/>
          <w:lang w:val="en-US" w:eastAsia="zh-CN"/>
        </w:rPr>
        <w:t>区域</w:t>
      </w:r>
      <w:r>
        <w:rPr>
          <w:rFonts w:hint="default"/>
          <w:color w:val="auto"/>
          <w:lang w:val="en-US" w:eastAsia="zh-CN"/>
        </w:rPr>
        <w:t>内加工制作</w:t>
      </w:r>
      <w:r>
        <w:rPr>
          <w:rFonts w:hint="eastAsia"/>
          <w:color w:val="auto"/>
          <w:lang w:val="en-US" w:eastAsia="zh-CN"/>
        </w:rPr>
        <w:t>早餐；</w:t>
      </w:r>
    </w:p>
    <w:p>
      <w:pPr>
        <w:pStyle w:val="102"/>
        <w:bidi w:val="0"/>
        <w:rPr>
          <w:rFonts w:hint="eastAsia"/>
          <w:color w:val="auto"/>
          <w:lang w:val="en-US" w:eastAsia="zh-CN"/>
        </w:rPr>
      </w:pPr>
      <w:r>
        <w:rPr>
          <w:rFonts w:hint="eastAsia"/>
          <w:color w:val="auto"/>
          <w:lang w:val="en-US" w:eastAsia="zh-CN"/>
        </w:rPr>
        <w:t>不应使用非食品原料加工制作早餐；</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在早餐中添加可能危害人体健康的物质；</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使用回收食品作为原料，再次加工制作食品；</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使用超过保质期的食品、食品添加剂；</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超范围、超限量使用食品添加剂；</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使用被包装材料、容器、运输工具等污染的食品、食品添加剂；</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使用无标签的预包装食品、食品添加剂；</w:t>
      </w:r>
    </w:p>
    <w:p>
      <w:pPr>
        <w:pStyle w:val="102"/>
        <w:bidi w:val="0"/>
        <w:rPr>
          <w:rFonts w:hint="eastAsia"/>
          <w:color w:val="auto"/>
          <w:lang w:val="en-US" w:eastAsia="zh-CN"/>
        </w:rPr>
      </w:pPr>
      <w:r>
        <w:rPr>
          <w:rFonts w:hint="eastAsia"/>
          <w:color w:val="auto"/>
          <w:lang w:eastAsia="zh-CN"/>
        </w:rPr>
        <w:t>不应</w:t>
      </w:r>
      <w:r>
        <w:rPr>
          <w:rFonts w:hint="eastAsia"/>
          <w:color w:val="auto"/>
          <w:lang w:val="en-US" w:eastAsia="zh-CN"/>
        </w:rPr>
        <w:t>使用国家为防病等特殊需要明令禁止经营的食品；</w:t>
      </w:r>
    </w:p>
    <w:p>
      <w:pPr>
        <w:pStyle w:val="102"/>
        <w:bidi w:val="0"/>
        <w:rPr>
          <w:rFonts w:hint="eastAsia"/>
          <w:color w:val="auto"/>
          <w:lang w:val="en-US" w:eastAsia="zh-CN"/>
        </w:rPr>
      </w:pPr>
      <w:r>
        <w:rPr>
          <w:rFonts w:hint="eastAsia"/>
          <w:color w:val="auto"/>
          <w:lang w:val="en-US" w:eastAsia="zh-CN"/>
        </w:rPr>
        <w:t>不应进行法律法规禁止的其他加工制作行为。</w:t>
      </w:r>
    </w:p>
    <w:p>
      <w:pPr>
        <w:pStyle w:val="63"/>
        <w:bidi w:val="0"/>
        <w:rPr>
          <w:rFonts w:hint="eastAsia"/>
          <w:color w:val="auto"/>
          <w:lang w:val="en-US" w:eastAsia="zh-CN"/>
        </w:rPr>
      </w:pPr>
      <w:r>
        <w:rPr>
          <w:rFonts w:hint="eastAsia"/>
          <w:color w:val="auto"/>
          <w:lang w:val="en-US" w:eastAsia="zh-CN"/>
        </w:rPr>
        <w:t>粗加工</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食品原料应洗净后使用。</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冷冻食品原料不宜反复解冻、冷冻</w:t>
      </w:r>
      <w:r>
        <w:rPr>
          <w:rFonts w:hint="eastAsia"/>
          <w:color w:val="auto"/>
          <w:lang w:val="en-US" w:eastAsia="zh-CN"/>
        </w:rPr>
        <w:t>，解冻后应及时使用</w:t>
      </w:r>
      <w:r>
        <w:rPr>
          <w:rFonts w:hint="default"/>
          <w:color w:val="auto"/>
          <w:lang w:val="en-US" w:eastAsia="zh-CN"/>
        </w:rPr>
        <w:t>。应缩短解冻后的高危易腐食品原料在常温下的存放时间，食品原料的表面温度不宜超过 8℃</w:t>
      </w:r>
      <w:r>
        <w:rPr>
          <w:rFonts w:hint="eastAsia"/>
          <w:color w:val="auto"/>
          <w:lang w:val="en-US" w:eastAsia="zh-CN"/>
        </w:rPr>
        <w:t>。</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使用禽蛋前，应清洗禽蛋的外壳，必要时消毒外壳。</w:t>
      </w:r>
      <w:r>
        <w:rPr>
          <w:rFonts w:hint="eastAsia"/>
          <w:color w:val="auto"/>
          <w:lang w:val="en-US" w:eastAsia="zh-CN"/>
        </w:rPr>
        <w:t>破蛋</w:t>
      </w:r>
      <w:r>
        <w:rPr>
          <w:rFonts w:hint="default"/>
          <w:color w:val="auto"/>
          <w:lang w:val="en-US" w:eastAsia="zh-CN"/>
        </w:rPr>
        <w:t>后应单独存放在暂存容器内，确认禽蛋未变质后再合并存放。</w:t>
      </w:r>
    </w:p>
    <w:p>
      <w:pPr>
        <w:pStyle w:val="63"/>
        <w:bidi w:val="0"/>
        <w:rPr>
          <w:rFonts w:hint="default"/>
          <w:color w:val="auto"/>
          <w:lang w:val="en-US" w:eastAsia="zh-CN"/>
        </w:rPr>
      </w:pPr>
      <w:r>
        <w:rPr>
          <w:rFonts w:hint="eastAsia"/>
          <w:color w:val="auto"/>
          <w:lang w:val="en-US" w:eastAsia="zh-CN"/>
        </w:rPr>
        <w:t>成品</w:t>
      </w:r>
      <w:r>
        <w:rPr>
          <w:rFonts w:hint="default"/>
          <w:color w:val="auto"/>
          <w:lang w:val="en-US" w:eastAsia="zh-CN"/>
        </w:rPr>
        <w:t>加工</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color w:val="auto"/>
          <w:lang w:val="en-US" w:eastAsia="zh-CN"/>
        </w:rPr>
        <w:t>应由专人在专间进行加工制作，专间内温度不超过25℃。</w:t>
      </w:r>
      <w:r>
        <w:rPr>
          <w:rFonts w:hint="default"/>
          <w:color w:val="auto"/>
          <w:lang w:val="en-US" w:eastAsia="zh-CN"/>
        </w:rPr>
        <w:t>需要烧熟煮透的食品，加工制作时食品的中心温度应达到70℃以上。高危易腐食品熟制后，在8℃~60</w:t>
      </w:r>
      <w:r>
        <w:rPr>
          <w:rFonts w:hint="eastAsia"/>
          <w:color w:val="auto"/>
          <w:lang w:val="en-US" w:eastAsia="zh-CN"/>
        </w:rPr>
        <w:t>℃</w:t>
      </w:r>
      <w:r>
        <w:rPr>
          <w:rFonts w:hint="default"/>
          <w:color w:val="auto"/>
          <w:lang w:val="en-US" w:eastAsia="zh-CN"/>
        </w:rPr>
        <w:t>条件下存放2</w:t>
      </w:r>
      <w:r>
        <w:rPr>
          <w:rFonts w:hint="eastAsia"/>
          <w:color w:val="auto"/>
          <w:lang w:val="en-US" w:eastAsia="zh-CN"/>
        </w:rPr>
        <w:t xml:space="preserve"> h</w:t>
      </w:r>
      <w:r>
        <w:rPr>
          <w:rFonts w:hint="default"/>
          <w:color w:val="auto"/>
          <w:lang w:val="en-US" w:eastAsia="zh-CN"/>
        </w:rPr>
        <w:t>以上且未发生感官性状变化的，食用前应进行再加热。</w:t>
      </w:r>
      <w:r>
        <w:rPr>
          <w:rFonts w:hint="eastAsia"/>
          <w:color w:val="auto"/>
          <w:lang w:val="en-US" w:eastAsia="zh-CN"/>
        </w:rPr>
        <w:t>食品添加剂的使用应符合GB 2760的规定。在满足早餐制作工艺前提下宜降低食品添加剂的使用量。</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color w:val="auto"/>
          <w:lang w:val="en-US" w:eastAsia="zh-CN"/>
        </w:rPr>
        <w:t>在制作油炸类早餐时应符合下列要求：</w:t>
      </w:r>
    </w:p>
    <w:p>
      <w:pPr>
        <w:pStyle w:val="102"/>
        <w:bidi w:val="0"/>
        <w:rPr>
          <w:rFonts w:hint="default"/>
          <w:color w:val="auto"/>
          <w:lang w:val="en-US" w:eastAsia="zh-CN"/>
        </w:rPr>
      </w:pPr>
      <w:r>
        <w:rPr>
          <w:rFonts w:hint="eastAsia"/>
          <w:color w:val="auto"/>
          <w:lang w:val="en-US" w:eastAsia="zh-CN"/>
        </w:rPr>
        <w:t>应选择热稳定性好的、适合油炸的食用油脂，如菜籽油、棕榈油、大豆油等；</w:t>
      </w:r>
    </w:p>
    <w:p>
      <w:pPr>
        <w:pStyle w:val="102"/>
        <w:bidi w:val="0"/>
        <w:rPr>
          <w:rFonts w:hint="default"/>
          <w:color w:val="auto"/>
          <w:lang w:val="en-US" w:eastAsia="zh-CN"/>
        </w:rPr>
      </w:pPr>
      <w:r>
        <w:rPr>
          <w:rFonts w:hint="default"/>
          <w:color w:val="auto"/>
          <w:lang w:val="en-US" w:eastAsia="zh-CN"/>
        </w:rPr>
        <w:t>与炸油直接接触的设备、工具内表面应为耐腐蚀、耐高温的材质</w:t>
      </w:r>
      <w:r>
        <w:rPr>
          <w:rFonts w:hint="eastAsia"/>
          <w:color w:val="auto"/>
          <w:lang w:val="en-US" w:eastAsia="zh-CN"/>
        </w:rPr>
        <w:t>；</w:t>
      </w:r>
    </w:p>
    <w:p>
      <w:pPr>
        <w:pStyle w:val="102"/>
        <w:bidi w:val="0"/>
        <w:rPr>
          <w:rFonts w:hint="default"/>
          <w:color w:val="auto"/>
          <w:lang w:val="en-US" w:eastAsia="zh-CN"/>
        </w:rPr>
      </w:pPr>
      <w:r>
        <w:rPr>
          <w:rFonts w:hint="default"/>
          <w:color w:val="auto"/>
          <w:lang w:val="en-US" w:eastAsia="zh-CN"/>
        </w:rPr>
        <w:t>油炸食品前，应尽可能减少食品表面的多余水分。</w:t>
      </w:r>
    </w:p>
    <w:p>
      <w:pPr>
        <w:pStyle w:val="102"/>
        <w:bidi w:val="0"/>
        <w:rPr>
          <w:rFonts w:hint="default"/>
          <w:color w:val="auto"/>
          <w:lang w:val="en-US" w:eastAsia="zh-CN"/>
        </w:rPr>
      </w:pPr>
      <w:r>
        <w:rPr>
          <w:rFonts w:hint="eastAsia"/>
          <w:color w:val="auto"/>
          <w:lang w:val="en-US" w:eastAsia="zh-CN"/>
        </w:rPr>
        <w:t>油炸食品时，油温不宜超过190 ℃；</w:t>
      </w:r>
    </w:p>
    <w:p>
      <w:pPr>
        <w:pStyle w:val="102"/>
        <w:bidi w:val="0"/>
        <w:rPr>
          <w:rFonts w:hint="default"/>
          <w:color w:val="auto"/>
          <w:lang w:val="en-US" w:eastAsia="zh-CN"/>
        </w:rPr>
      </w:pPr>
      <w:r>
        <w:rPr>
          <w:rFonts w:hint="eastAsia"/>
          <w:color w:val="auto"/>
          <w:lang w:val="en-US" w:eastAsia="zh-CN"/>
        </w:rPr>
        <w:t>油量不足时，应及时添加新油；</w:t>
      </w:r>
    </w:p>
    <w:p>
      <w:pPr>
        <w:pStyle w:val="102"/>
        <w:bidi w:val="0"/>
        <w:rPr>
          <w:rFonts w:hint="default"/>
          <w:color w:val="auto"/>
          <w:lang w:val="en-US" w:eastAsia="zh-CN"/>
        </w:rPr>
      </w:pPr>
      <w:r>
        <w:rPr>
          <w:rFonts w:hint="eastAsia"/>
          <w:color w:val="auto"/>
          <w:lang w:val="en-US" w:eastAsia="zh-CN"/>
        </w:rPr>
        <w:t>定期过滤在用油，去除食物残渣；</w:t>
      </w:r>
    </w:p>
    <w:p>
      <w:pPr>
        <w:pStyle w:val="102"/>
        <w:bidi w:val="0"/>
        <w:rPr>
          <w:rFonts w:hint="default"/>
          <w:color w:val="auto"/>
          <w:lang w:val="en-US" w:eastAsia="zh-CN"/>
        </w:rPr>
      </w:pPr>
      <w:r>
        <w:rPr>
          <w:rFonts w:hint="default"/>
          <w:color w:val="auto"/>
          <w:lang w:val="en-US" w:eastAsia="zh-CN"/>
        </w:rPr>
        <w:t>定期拆卸油炸设备，进行清洁维护</w:t>
      </w:r>
      <w:r>
        <w:rPr>
          <w:rFonts w:hint="eastAsia"/>
          <w:color w:val="auto"/>
          <w:lang w:val="en-US" w:eastAsia="zh-CN"/>
        </w:rPr>
        <w:t>；</w:t>
      </w:r>
    </w:p>
    <w:p>
      <w:pPr>
        <w:pStyle w:val="102"/>
        <w:bidi w:val="0"/>
        <w:rPr>
          <w:rFonts w:hint="default"/>
          <w:color w:val="auto"/>
          <w:lang w:val="en-US" w:eastAsia="zh-CN"/>
        </w:rPr>
      </w:pPr>
      <w:r>
        <w:rPr>
          <w:rFonts w:hint="eastAsia"/>
          <w:color w:val="auto"/>
          <w:lang w:val="en-US" w:eastAsia="zh-CN"/>
        </w:rPr>
        <w:t>煎炸食品应避免高温或长时间加热，不宜隔夜放置。</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color w:val="auto"/>
          <w:lang w:val="en-US" w:eastAsia="zh-CN"/>
        </w:rPr>
        <w:t>在制作糕点类早餐时应符合下列要求：</w:t>
      </w:r>
    </w:p>
    <w:p>
      <w:pPr>
        <w:pStyle w:val="102"/>
        <w:bidi w:val="0"/>
        <w:rPr>
          <w:rFonts w:hint="default"/>
          <w:color w:val="auto"/>
          <w:lang w:val="en-US" w:eastAsia="zh-CN"/>
        </w:rPr>
      </w:pPr>
      <w:r>
        <w:rPr>
          <w:rFonts w:hint="eastAsia"/>
          <w:color w:val="auto"/>
          <w:lang w:val="en-US" w:eastAsia="zh-CN"/>
        </w:rPr>
        <w:t>不应使用荧光增白剂的烘烤纸；</w:t>
      </w:r>
    </w:p>
    <w:p>
      <w:pPr>
        <w:pStyle w:val="102"/>
        <w:bidi w:val="0"/>
        <w:rPr>
          <w:rFonts w:hint="default"/>
          <w:color w:val="auto"/>
          <w:lang w:val="en-US" w:eastAsia="zh-CN"/>
        </w:rPr>
      </w:pPr>
      <w:r>
        <w:rPr>
          <w:rFonts w:hint="default"/>
          <w:color w:val="auto"/>
          <w:lang w:val="en-US" w:eastAsia="zh-CN"/>
        </w:rPr>
        <w:t>使用自制蛋液的，应冷藏保存蛋液，防止蛋液变质。</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color w:val="auto"/>
          <w:lang w:val="en-US" w:eastAsia="zh-CN"/>
        </w:rPr>
        <w:t>制作自制饮品应符合下列要求：</w:t>
      </w:r>
    </w:p>
    <w:p>
      <w:pPr>
        <w:pStyle w:val="102"/>
        <w:bidi w:val="0"/>
        <w:rPr>
          <w:rFonts w:hint="default"/>
          <w:color w:val="auto"/>
          <w:lang w:val="en-US" w:eastAsia="zh-CN"/>
        </w:rPr>
      </w:pPr>
      <w:r>
        <w:rPr>
          <w:rFonts w:hint="default"/>
          <w:color w:val="auto"/>
          <w:lang w:val="en-US" w:eastAsia="zh-CN"/>
        </w:rPr>
        <w:t>加工制作现榨果蔬汁、食用冰等的用水，应为预包装饮用水、使用符合相关规定的水净化设备或设施处理后的直饮水、煮沸冷却后的生活饮用水</w:t>
      </w:r>
      <w:r>
        <w:rPr>
          <w:rFonts w:hint="eastAsia"/>
          <w:color w:val="auto"/>
          <w:lang w:val="en-US" w:eastAsia="zh-CN"/>
        </w:rPr>
        <w:t>；</w:t>
      </w:r>
    </w:p>
    <w:p>
      <w:pPr>
        <w:pStyle w:val="102"/>
        <w:bidi w:val="0"/>
        <w:rPr>
          <w:rFonts w:hint="default"/>
          <w:color w:val="auto"/>
          <w:lang w:val="en-US" w:eastAsia="zh-CN"/>
        </w:rPr>
      </w:pPr>
      <w:r>
        <w:rPr>
          <w:rFonts w:hint="default"/>
          <w:color w:val="auto"/>
          <w:lang w:val="en-US" w:eastAsia="zh-CN"/>
        </w:rPr>
        <w:t>煮沸生豆浆时，应将上涌泡沫除净，煮沸后保持沸腾状态5</w:t>
      </w:r>
      <w:r>
        <w:rPr>
          <w:rFonts w:hint="eastAsia"/>
          <w:color w:val="auto"/>
          <w:lang w:val="en-US" w:eastAsia="zh-CN"/>
        </w:rPr>
        <w:t xml:space="preserve"> min</w:t>
      </w:r>
      <w:r>
        <w:rPr>
          <w:rFonts w:hint="default"/>
          <w:color w:val="auto"/>
          <w:lang w:val="en-US" w:eastAsia="zh-CN"/>
        </w:rPr>
        <w:t>以上。</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color w:val="auto"/>
          <w:lang w:val="en-US" w:eastAsia="zh-CN"/>
        </w:rPr>
        <w:t>加工制作好的成品</w:t>
      </w:r>
      <w:r>
        <w:rPr>
          <w:rFonts w:hint="default"/>
          <w:color w:val="auto"/>
          <w:lang w:val="en-US" w:eastAsia="zh-CN"/>
        </w:rPr>
        <w:t>应当餐供应</w:t>
      </w:r>
      <w:r>
        <w:rPr>
          <w:rFonts w:hint="eastAsia"/>
          <w:color w:val="auto"/>
          <w:lang w:val="en-US" w:eastAsia="zh-CN"/>
        </w:rPr>
        <w:t>，现调、冲泡、分装饮品可不在专用操作区内进行。</w:t>
      </w:r>
      <w:r>
        <w:rPr>
          <w:rFonts w:hint="default"/>
          <w:color w:val="auto"/>
          <w:lang w:val="en-US" w:eastAsia="zh-CN"/>
        </w:rPr>
        <w:t>盛放调味料的容器应保持清洁，使用后加盖存放</w:t>
      </w:r>
    </w:p>
    <w:p>
      <w:pPr>
        <w:pStyle w:val="63"/>
        <w:bidi w:val="0"/>
        <w:rPr>
          <w:rFonts w:hint="eastAsia"/>
          <w:color w:val="auto"/>
          <w:lang w:val="en-US" w:eastAsia="zh-CN"/>
        </w:rPr>
      </w:pPr>
      <w:r>
        <w:rPr>
          <w:rFonts w:hint="eastAsia"/>
          <w:color w:val="auto"/>
          <w:lang w:val="en-US" w:eastAsia="zh-CN"/>
        </w:rPr>
        <w:t>食品留样</w:t>
      </w:r>
    </w:p>
    <w:p>
      <w:pPr>
        <w:pStyle w:val="22"/>
        <w:bidi w:val="0"/>
        <w:rPr>
          <w:rFonts w:hint="eastAsia"/>
          <w:color w:val="auto"/>
          <w:lang w:val="en-US" w:eastAsia="zh-CN"/>
        </w:rPr>
      </w:pPr>
      <w:r>
        <w:rPr>
          <w:rFonts w:hint="eastAsia"/>
          <w:color w:val="auto"/>
          <w:lang w:val="en-US" w:eastAsia="zh-CN"/>
        </w:rPr>
        <w:t>应配备专人管理留样食品、记录留样情况，记录内容包括留样食品名称、留样时间（月、日、时）、留样人员等。宜配备餐品留样柜，每种餐品留样120 g，留存48 h以上，以供食品安全监督检查部门抽查及自我监督检查。在盛放留样食品的容器上应标注留样食品名称、留样时间（月、日、时），或者标注与留样记录相对应的标识。</w:t>
      </w:r>
    </w:p>
    <w:p>
      <w:pPr>
        <w:pStyle w:val="64"/>
        <w:numPr>
          <w:ilvl w:val="1"/>
          <w:numId w:val="6"/>
        </w:numPr>
        <w:spacing w:before="156" w:after="156"/>
        <w:jc w:val="both"/>
        <w:outlineLvl w:val="1"/>
        <w:rPr>
          <w:rFonts w:hint="eastAsia" w:cs="Times New Roman"/>
          <w:color w:val="auto"/>
          <w:highlight w:val="none"/>
          <w:lang w:val="en-US" w:eastAsia="zh-CN"/>
        </w:rPr>
      </w:pPr>
      <w:bookmarkStart w:id="53" w:name="_Toc10994"/>
      <w:r>
        <w:rPr>
          <w:rFonts w:hint="eastAsia" w:cs="Times New Roman"/>
          <w:color w:val="auto"/>
          <w:highlight w:val="none"/>
          <w:lang w:val="en-US" w:eastAsia="zh-CN"/>
        </w:rPr>
        <w:t>供餐、用餐与配送</w:t>
      </w:r>
      <w:bookmarkStart w:id="54" w:name="_Toc8719"/>
      <w:bookmarkStart w:id="55" w:name="_Toc15137"/>
      <w:bookmarkStart w:id="56" w:name="_Toc752"/>
      <w:bookmarkStart w:id="57" w:name="_Toc30913"/>
      <w:bookmarkStart w:id="58" w:name="_Toc19324"/>
      <w:r>
        <w:rPr>
          <w:rFonts w:hint="eastAsia" w:cs="Times New Roman"/>
          <w:color w:val="auto"/>
          <w:highlight w:val="none"/>
          <w:lang w:val="en-US" w:eastAsia="zh-CN"/>
        </w:rPr>
        <w:t>服务</w:t>
      </w:r>
      <w:bookmarkEnd w:id="53"/>
    </w:p>
    <w:p>
      <w:pPr>
        <w:pStyle w:val="63"/>
        <w:bidi w:val="0"/>
        <w:rPr>
          <w:rFonts w:hint="eastAsia"/>
          <w:color w:val="auto"/>
          <w:lang w:val="en-US" w:eastAsia="zh-CN"/>
        </w:rPr>
      </w:pPr>
      <w:r>
        <w:rPr>
          <w:rFonts w:hint="eastAsia"/>
          <w:color w:val="auto"/>
          <w:lang w:val="en-US" w:eastAsia="zh-CN"/>
        </w:rPr>
        <w:t>供餐服务</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经营者宜实施“互联网+明厨亮灶”，规范公开早餐食品加工过程。</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在分派早餐、整理造型的工具使用前应进行消毒。</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供餐过程中，应使用清洁的托盘等工具，避免从业人员的手部直接接触食品。</w:t>
      </w:r>
    </w:p>
    <w:p>
      <w:pPr>
        <w:pStyle w:val="63"/>
        <w:bidi w:val="0"/>
        <w:rPr>
          <w:rFonts w:hint="eastAsia"/>
          <w:color w:val="auto"/>
          <w:lang w:val="en-US" w:eastAsia="zh-CN"/>
        </w:rPr>
      </w:pPr>
      <w:r>
        <w:rPr>
          <w:rFonts w:hint="eastAsia"/>
          <w:color w:val="auto"/>
          <w:lang w:val="en-US" w:eastAsia="zh-CN"/>
        </w:rPr>
        <w:t>用餐服务</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早餐店工作人员在消费者点餐时应热情迎接、主动介绍菜单询问消费者需求，记录和核对消费者点餐内容。</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消费者就餐时，就餐区不应进行有扬尘的活动，如打扫和施工等。应在消费者起身离店时收餐和清理桌面，提醒消费者带好随身物品。消费者提出打包要求时，</w:t>
      </w:r>
      <w:r>
        <w:rPr>
          <w:rFonts w:hint="default"/>
          <w:color w:val="auto"/>
          <w:lang w:val="en-US" w:eastAsia="zh-CN"/>
        </w:rPr>
        <w:t>应主动协助</w:t>
      </w:r>
      <w:r>
        <w:rPr>
          <w:rFonts w:hint="eastAsia"/>
          <w:color w:val="auto"/>
          <w:lang w:val="en-US" w:eastAsia="zh-CN"/>
        </w:rPr>
        <w:t>消费者</w:t>
      </w:r>
      <w:r>
        <w:rPr>
          <w:rFonts w:hint="default"/>
          <w:color w:val="auto"/>
          <w:lang w:val="en-US" w:eastAsia="zh-CN"/>
        </w:rPr>
        <w:t>打包，打包盒</w:t>
      </w:r>
      <w:r>
        <w:rPr>
          <w:rFonts w:hint="eastAsia"/>
          <w:color w:val="auto"/>
          <w:lang w:val="en-US" w:eastAsia="zh-CN"/>
        </w:rPr>
        <w:t>应</w:t>
      </w:r>
      <w:r>
        <w:rPr>
          <w:rFonts w:hint="default"/>
          <w:color w:val="auto"/>
          <w:lang w:val="en-US" w:eastAsia="zh-CN"/>
        </w:rPr>
        <w:t xml:space="preserve">符合GB </w:t>
      </w:r>
      <w:r>
        <w:rPr>
          <w:rFonts w:hint="eastAsia"/>
          <w:color w:val="auto"/>
          <w:lang w:val="en-US" w:eastAsia="zh-CN"/>
        </w:rPr>
        <w:t>4806.7</w:t>
      </w:r>
      <w:r>
        <w:rPr>
          <w:rFonts w:hint="default"/>
          <w:color w:val="auto"/>
          <w:lang w:val="en-US" w:eastAsia="zh-CN"/>
        </w:rPr>
        <w:t>的要求。</w:t>
      </w:r>
    </w:p>
    <w:p>
      <w:pPr>
        <w:pStyle w:val="63"/>
        <w:bidi w:val="0"/>
        <w:rPr>
          <w:rFonts w:hint="eastAsia"/>
          <w:color w:val="auto"/>
          <w:lang w:val="en-US" w:eastAsia="zh-CN"/>
        </w:rPr>
      </w:pPr>
      <w:r>
        <w:rPr>
          <w:rFonts w:hint="eastAsia"/>
          <w:color w:val="auto"/>
          <w:lang w:val="en-US" w:eastAsia="zh-CN"/>
        </w:rPr>
        <w:t>配送服务</w:t>
      </w:r>
    </w:p>
    <w:p>
      <w:pPr>
        <w:pStyle w:val="22"/>
        <w:bidi w:val="0"/>
        <w:rPr>
          <w:rFonts w:hint="eastAsia"/>
          <w:color w:val="auto"/>
          <w:lang w:val="en-US" w:eastAsia="zh-CN"/>
        </w:rPr>
      </w:pPr>
      <w:r>
        <w:rPr>
          <w:rFonts w:hint="eastAsia"/>
          <w:color w:val="auto"/>
          <w:lang w:val="en-US" w:eastAsia="zh-CN"/>
        </w:rPr>
        <w:t>配送过程中，食品与非食品、不同存在形式的食品应使用容器或独立包装等分隔，盛放容器和包装应严密。不应将食品与有毒有害物品混装配送。高危易腐食品应冷藏配送，并与热食类食品分开存放。使用一次性容器、餐饮具的，应选用符合食品安全要求的材料制成的容器、餐饮具。</w:t>
      </w:r>
    </w:p>
    <w:bookmarkEnd w:id="54"/>
    <w:bookmarkEnd w:id="55"/>
    <w:bookmarkEnd w:id="56"/>
    <w:bookmarkEnd w:id="57"/>
    <w:bookmarkEnd w:id="58"/>
    <w:p>
      <w:pPr>
        <w:pStyle w:val="64"/>
        <w:numPr>
          <w:ilvl w:val="1"/>
          <w:numId w:val="6"/>
        </w:numPr>
        <w:spacing w:before="156" w:after="156"/>
        <w:jc w:val="both"/>
        <w:outlineLvl w:val="1"/>
        <w:rPr>
          <w:rFonts w:hint="eastAsia" w:cs="Times New Roman"/>
          <w:color w:val="auto"/>
          <w:highlight w:val="none"/>
          <w:lang w:val="en-US" w:eastAsia="zh-CN"/>
        </w:rPr>
      </w:pPr>
      <w:bookmarkStart w:id="59" w:name="_Toc6615"/>
      <w:r>
        <w:rPr>
          <w:rFonts w:hint="eastAsia" w:cs="Times New Roman"/>
          <w:color w:val="auto"/>
          <w:highlight w:val="none"/>
          <w:lang w:val="en-US" w:eastAsia="zh-CN"/>
        </w:rPr>
        <w:t>清洗消毒</w:t>
      </w:r>
      <w:bookmarkEnd w:id="59"/>
    </w:p>
    <w:p>
      <w:pPr>
        <w:pStyle w:val="63"/>
        <w:bidi w:val="0"/>
        <w:rPr>
          <w:rFonts w:hint="default"/>
          <w:color w:val="auto"/>
          <w:lang w:val="en-US" w:eastAsia="zh-CN"/>
        </w:rPr>
      </w:pPr>
      <w:r>
        <w:rPr>
          <w:rFonts w:hint="eastAsia"/>
          <w:color w:val="auto"/>
          <w:lang w:val="en-US" w:eastAsia="zh-CN"/>
        </w:rPr>
        <w:t>餐具</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餐具、盛放或接触直接入口食品的容器和工具使用前应消毒、使用后应及时收纳至碗碟清洗区等待清洗消毒。</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消毒后的餐具、盛放或接触直接入口食品的容器和工具应符合GB 14934的规定。使用抹布擦干的，抹布应专用，并经清洗消毒后方可使用。</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从业人员佩戴手套清洗消毒餐具的，接触消毒后的餐具前应更换手套。</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lang w:val="en-US" w:eastAsia="zh-CN"/>
        </w:rPr>
        <w:t>采用消毒设备消毒应定期检查消毒设备的运行状态。清洁人员应</w:t>
      </w:r>
      <w:r>
        <w:rPr>
          <w:rFonts w:hint="default"/>
          <w:color w:val="auto"/>
          <w:lang w:val="en-US" w:eastAsia="zh-CN"/>
        </w:rPr>
        <w:t>定期清洁</w:t>
      </w:r>
      <w:r>
        <w:rPr>
          <w:rFonts w:hint="eastAsia"/>
          <w:color w:val="auto"/>
          <w:lang w:val="en-US" w:eastAsia="zh-CN"/>
        </w:rPr>
        <w:t>消毒</w:t>
      </w:r>
      <w:r>
        <w:rPr>
          <w:rFonts w:hint="default"/>
          <w:color w:val="auto"/>
          <w:lang w:val="en-US" w:eastAsia="zh-CN"/>
        </w:rPr>
        <w:t>设施。</w:t>
      </w:r>
    </w:p>
    <w:p>
      <w:pPr>
        <w:pStyle w:val="63"/>
        <w:bidi w:val="0"/>
        <w:rPr>
          <w:rFonts w:hint="eastAsia" w:cs="Times New Roman"/>
          <w:color w:val="auto"/>
          <w:lang w:val="en-US" w:eastAsia="zh-CN"/>
        </w:rPr>
      </w:pPr>
      <w:r>
        <w:rPr>
          <w:rFonts w:hint="eastAsia" w:cs="Times New Roman"/>
          <w:color w:val="auto"/>
          <w:lang w:val="en-US" w:eastAsia="zh-CN"/>
        </w:rPr>
        <w:t>洗涤剂和消毒剂</w:t>
      </w:r>
    </w:p>
    <w:p>
      <w:pPr>
        <w:pStyle w:val="22"/>
        <w:bidi w:val="0"/>
        <w:rPr>
          <w:rFonts w:hint="default"/>
          <w:color w:val="auto"/>
          <w:lang w:val="en-US" w:eastAsia="zh-CN"/>
        </w:rPr>
      </w:pPr>
      <w:r>
        <w:rPr>
          <w:rFonts w:hint="eastAsia"/>
          <w:color w:val="auto"/>
          <w:lang w:val="en-US" w:eastAsia="zh-CN"/>
        </w:rPr>
        <w:t>应按照洗涤剂、消毒剂的使用说明进行操作。</w:t>
      </w:r>
      <w:r>
        <w:rPr>
          <w:rFonts w:hint="default"/>
          <w:color w:val="auto"/>
          <w:lang w:val="en-US" w:eastAsia="zh-CN"/>
        </w:rPr>
        <w:t>消毒液应现用现配，并定时测量消毒液的消毒浓度。</w:t>
      </w:r>
      <w:r>
        <w:rPr>
          <w:rFonts w:hint="eastAsia"/>
          <w:color w:val="auto"/>
          <w:lang w:val="en-US" w:eastAsia="zh-CN"/>
        </w:rPr>
        <w:t>使用的洗涤剂、消毒剂应分别符合GB 14930.1和GB 14930.2的相关规定。</w:t>
      </w:r>
    </w:p>
    <w:p>
      <w:pPr>
        <w:pStyle w:val="63"/>
        <w:bidi w:val="0"/>
        <w:rPr>
          <w:rFonts w:hint="default" w:cs="Times New Roman"/>
          <w:color w:val="auto"/>
          <w:lang w:val="en-US" w:eastAsia="zh-CN"/>
        </w:rPr>
      </w:pPr>
      <w:r>
        <w:rPr>
          <w:rFonts w:hint="eastAsia" w:cs="Times New Roman"/>
          <w:color w:val="auto"/>
          <w:lang w:val="en-US" w:eastAsia="zh-CN"/>
        </w:rPr>
        <w:t>废弃物处置</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餐厨废弃物应分类放置、及时清理，</w:t>
      </w:r>
      <w:r>
        <w:rPr>
          <w:rFonts w:hint="eastAsia"/>
          <w:color w:val="auto"/>
          <w:lang w:val="en-US" w:eastAsia="zh-CN"/>
        </w:rPr>
        <w:t>不应</w:t>
      </w:r>
      <w:r>
        <w:rPr>
          <w:rFonts w:hint="default"/>
          <w:color w:val="auto"/>
          <w:lang w:val="en-US" w:eastAsia="zh-CN"/>
        </w:rPr>
        <w:t>溢出存放容器，必要时进行消毒。</w:t>
      </w:r>
      <w:r>
        <w:rPr>
          <w:rFonts w:hint="eastAsia"/>
          <w:color w:val="auto"/>
          <w:lang w:val="en-US" w:eastAsia="zh-CN"/>
        </w:rPr>
        <w:t>餐品残渣和一次性餐具应倒入餐厨垃圾桶。</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废弃物存放容器应配有盖子，防止有害生物侵入、不良气味或污水溢出，防止污染食品、水源、地面、食品接触面。桶内垃圾堆积</w:t>
      </w:r>
      <w:r>
        <w:rPr>
          <w:rFonts w:hint="eastAsia"/>
          <w:color w:val="auto"/>
          <w:lang w:val="en-US" w:eastAsia="zh-CN"/>
        </w:rPr>
        <w:t>不宜超过2/3。</w:t>
      </w:r>
    </w:p>
    <w:p>
      <w:pPr>
        <w:pStyle w:val="63"/>
        <w:bidi w:val="0"/>
        <w:rPr>
          <w:rFonts w:hint="default" w:cs="Times New Roman"/>
          <w:color w:val="auto"/>
          <w:lang w:val="en-US" w:eastAsia="zh-CN"/>
        </w:rPr>
      </w:pPr>
      <w:r>
        <w:rPr>
          <w:rFonts w:hint="eastAsia" w:cs="Times New Roman"/>
          <w:color w:val="auto"/>
          <w:lang w:val="en-US" w:eastAsia="zh-CN"/>
        </w:rPr>
        <w:t>有害生物防制</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应</w:t>
      </w:r>
      <w:r>
        <w:rPr>
          <w:rFonts w:hint="eastAsia"/>
          <w:color w:val="auto"/>
          <w:lang w:val="en-US" w:eastAsia="zh-CN"/>
        </w:rPr>
        <w:t>优先</w:t>
      </w:r>
      <w:r>
        <w:rPr>
          <w:rFonts w:hint="default"/>
          <w:color w:val="auto"/>
          <w:lang w:val="en-US" w:eastAsia="zh-CN"/>
        </w:rPr>
        <w:t>使用粘鼠板、捕鼠笼、机械式捕鼠器等装置，</w:t>
      </w:r>
      <w:r>
        <w:rPr>
          <w:rFonts w:hint="eastAsia"/>
          <w:color w:val="auto"/>
          <w:lang w:val="en-US" w:eastAsia="zh-CN"/>
        </w:rPr>
        <w:t>不应</w:t>
      </w:r>
      <w:r>
        <w:rPr>
          <w:rFonts w:hint="default"/>
          <w:color w:val="auto"/>
          <w:lang w:val="en-US" w:eastAsia="zh-CN"/>
        </w:rPr>
        <w:t>使用杀鼠剂。</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使用电击式灭蝇灯的，灭蝇灯</w:t>
      </w:r>
      <w:r>
        <w:rPr>
          <w:rFonts w:hint="eastAsia"/>
          <w:color w:val="auto"/>
          <w:lang w:val="en-US" w:eastAsia="zh-CN"/>
        </w:rPr>
        <w:t>不应</w:t>
      </w:r>
      <w:r>
        <w:rPr>
          <w:rFonts w:hint="default"/>
          <w:color w:val="auto"/>
          <w:lang w:val="en-US" w:eastAsia="zh-CN"/>
        </w:rPr>
        <w:t>悬挂在食品加工制作或贮存区域</w:t>
      </w:r>
      <w:r>
        <w:rPr>
          <w:rFonts w:hint="eastAsia"/>
          <w:color w:val="auto"/>
          <w:lang w:val="en-US" w:eastAsia="zh-CN"/>
        </w:rPr>
        <w:t>、就餐区桌椅</w:t>
      </w:r>
      <w:r>
        <w:rPr>
          <w:rFonts w:hint="default"/>
          <w:color w:val="auto"/>
          <w:lang w:val="en-US" w:eastAsia="zh-CN"/>
        </w:rPr>
        <w:t>的上方</w:t>
      </w:r>
      <w:r>
        <w:rPr>
          <w:rFonts w:hint="eastAsia"/>
          <w:color w:val="auto"/>
          <w:lang w:val="en-US" w:eastAsia="zh-CN"/>
        </w:rPr>
        <w:t>。</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大门口安装防蝇帘</w:t>
      </w:r>
      <w:r>
        <w:rPr>
          <w:rFonts w:hint="eastAsia"/>
          <w:color w:val="auto"/>
          <w:lang w:val="en-US" w:eastAsia="zh-CN"/>
        </w:rPr>
        <w:t>、</w:t>
      </w:r>
      <w:r>
        <w:rPr>
          <w:rFonts w:hint="default"/>
          <w:color w:val="auto"/>
          <w:lang w:val="en-US" w:eastAsia="zh-CN"/>
        </w:rPr>
        <w:t>风幕</w:t>
      </w:r>
      <w:r>
        <w:rPr>
          <w:rFonts w:hint="eastAsia"/>
          <w:color w:val="auto"/>
          <w:lang w:val="en-US" w:eastAsia="zh-CN"/>
        </w:rPr>
        <w:t>等</w:t>
      </w:r>
      <w:r>
        <w:rPr>
          <w:rFonts w:hint="default"/>
          <w:color w:val="auto"/>
          <w:lang w:val="en-US" w:eastAsia="zh-CN"/>
        </w:rPr>
        <w:t>；风幕需开启，风吹向门外；防蝇帘末端与地面垂直距离小于2cm；相近帘条重叠大于2cm。</w:t>
      </w:r>
    </w:p>
    <w:p>
      <w:pPr>
        <w:pStyle w:val="106"/>
        <w:keepNext w:val="0"/>
        <w:keepLines w:val="0"/>
        <w:pageBreakBefore w:val="0"/>
        <w:widowControl/>
        <w:kinsoku/>
        <w:wordWrap/>
        <w:overflowPunct/>
        <w:topLinePunct w:val="0"/>
        <w:autoSpaceDE/>
        <w:autoSpaceDN/>
        <w:bidi w:val="0"/>
        <w:adjustRightInd/>
        <w:snapToGrid/>
        <w:spacing w:before="0" w:after="0"/>
        <w:textAlignment w:val="auto"/>
        <w:rPr>
          <w:rFonts w:hint="default"/>
          <w:color w:val="auto"/>
          <w:lang w:val="en-US" w:eastAsia="zh-CN"/>
        </w:rPr>
      </w:pPr>
      <w:r>
        <w:rPr>
          <w:rFonts w:hint="default"/>
          <w:color w:val="auto"/>
          <w:lang w:val="en-US" w:eastAsia="zh-CN"/>
        </w:rPr>
        <w:t>人员、货物进出通道应设有</w:t>
      </w:r>
      <w:r>
        <w:rPr>
          <w:rFonts w:hint="eastAsia"/>
          <w:color w:val="auto"/>
          <w:lang w:val="en-US" w:eastAsia="zh-CN"/>
        </w:rPr>
        <w:t>高度不低于600mm的</w:t>
      </w:r>
      <w:r>
        <w:rPr>
          <w:rFonts w:hint="default"/>
          <w:color w:val="auto"/>
          <w:lang w:val="en-US" w:eastAsia="zh-CN"/>
        </w:rPr>
        <w:t>防鼠板，门的缝隙应小于6</w:t>
      </w:r>
      <w:r>
        <w:rPr>
          <w:rFonts w:hint="eastAsia"/>
          <w:color w:val="auto"/>
          <w:lang w:val="en-US" w:eastAsia="zh-CN"/>
        </w:rPr>
        <w:t xml:space="preserve"> </w:t>
      </w:r>
      <w:r>
        <w:rPr>
          <w:rFonts w:hint="default"/>
          <w:color w:val="auto"/>
          <w:lang w:val="en-US" w:eastAsia="zh-CN"/>
        </w:rPr>
        <w:t>mm。排水管道出水口安装的篦子缝隙间距或网眼应小于10</w:t>
      </w:r>
      <w:r>
        <w:rPr>
          <w:rFonts w:hint="eastAsia"/>
          <w:color w:val="auto"/>
          <w:lang w:val="en-US" w:eastAsia="zh-CN"/>
        </w:rPr>
        <w:t xml:space="preserve"> </w:t>
      </w:r>
      <w:r>
        <w:rPr>
          <w:rFonts w:hint="default"/>
          <w:color w:val="auto"/>
          <w:lang w:val="en-US" w:eastAsia="zh-CN"/>
        </w:rPr>
        <w:t>mm。</w:t>
      </w:r>
      <w:r>
        <w:rPr>
          <w:rFonts w:hint="eastAsia"/>
          <w:color w:val="auto"/>
          <w:lang w:val="en-US" w:eastAsia="zh-CN"/>
        </w:rPr>
        <w:t>与外界相通的门与地面、门与门框、门与门之间的缝隙应小于0.6 cm。与外界相通的门及门框应能防啃咬，若是木门，则门及门框应包裹高度大于30 cm的铁皮。</w:t>
      </w:r>
    </w:p>
    <w:p>
      <w:pPr>
        <w:pStyle w:val="64"/>
        <w:numPr>
          <w:ilvl w:val="1"/>
          <w:numId w:val="6"/>
        </w:numPr>
        <w:spacing w:before="156" w:after="156"/>
        <w:jc w:val="both"/>
        <w:outlineLvl w:val="1"/>
        <w:rPr>
          <w:rFonts w:hint="default" w:cs="Times New Roman"/>
          <w:color w:val="auto"/>
          <w:highlight w:val="none"/>
          <w:lang w:val="en-US" w:eastAsia="zh-CN"/>
        </w:rPr>
      </w:pPr>
      <w:bookmarkStart w:id="60" w:name="_Toc22634"/>
      <w:r>
        <w:rPr>
          <w:rFonts w:hint="eastAsia" w:cs="Times New Roman"/>
          <w:color w:val="auto"/>
          <w:highlight w:val="none"/>
          <w:lang w:val="en-US" w:eastAsia="zh-CN"/>
        </w:rPr>
        <w:t>信息管理</w:t>
      </w:r>
      <w:bookmarkEnd w:id="60"/>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eastAsia" w:ascii="宋体" w:eastAsia="宋体" w:cs="Times New Roman"/>
          <w:color w:val="auto"/>
          <w:szCs w:val="20"/>
          <w:highlight w:val="none"/>
          <w:lang w:val="en-US" w:eastAsia="zh-CN"/>
        </w:rPr>
        <w:t>应建立信息管理制度，</w:t>
      </w:r>
      <w:r>
        <w:rPr>
          <w:rFonts w:hint="default" w:ascii="宋体" w:eastAsia="宋体" w:cs="Times New Roman"/>
          <w:color w:val="auto"/>
          <w:szCs w:val="20"/>
          <w:highlight w:val="none"/>
          <w:lang w:val="en-US" w:eastAsia="zh-CN"/>
        </w:rPr>
        <w:t>操作人员</w:t>
      </w:r>
      <w:r>
        <w:rPr>
          <w:rFonts w:hint="eastAsia" w:ascii="宋体" w:eastAsia="宋体" w:cs="Times New Roman"/>
          <w:color w:val="auto"/>
          <w:szCs w:val="20"/>
          <w:highlight w:val="none"/>
          <w:lang w:val="en-US" w:eastAsia="zh-CN"/>
        </w:rPr>
        <w:t>应</w:t>
      </w:r>
      <w:r>
        <w:rPr>
          <w:rFonts w:hint="default" w:ascii="宋体" w:eastAsia="宋体" w:cs="Times New Roman"/>
          <w:color w:val="auto"/>
          <w:szCs w:val="20"/>
          <w:highlight w:val="none"/>
          <w:lang w:val="en-US" w:eastAsia="zh-CN"/>
        </w:rPr>
        <w:t>按要求填写记录表格</w:t>
      </w:r>
      <w:r>
        <w:rPr>
          <w:rFonts w:hint="eastAsia" w:ascii="宋体" w:eastAsia="宋体" w:cs="Times New Roman"/>
          <w:color w:val="auto"/>
          <w:szCs w:val="20"/>
          <w:highlight w:val="none"/>
          <w:lang w:val="en-US" w:eastAsia="zh-CN"/>
        </w:rPr>
        <w:t>，</w:t>
      </w:r>
      <w:r>
        <w:rPr>
          <w:rFonts w:hint="default" w:ascii="宋体" w:eastAsia="宋体" w:cs="Times New Roman"/>
          <w:color w:val="auto"/>
          <w:szCs w:val="20"/>
          <w:highlight w:val="none"/>
          <w:lang w:val="en-US" w:eastAsia="zh-CN"/>
        </w:rPr>
        <w:t>记录</w:t>
      </w:r>
      <w:r>
        <w:rPr>
          <w:rFonts w:hint="eastAsia" w:ascii="宋体" w:eastAsia="宋体" w:cs="Times New Roman"/>
          <w:color w:val="auto"/>
          <w:szCs w:val="20"/>
          <w:highlight w:val="none"/>
          <w:lang w:val="en-US" w:eastAsia="zh-CN"/>
        </w:rPr>
        <w:t>的内容包括但不限于：</w:t>
      </w:r>
    </w:p>
    <w:p>
      <w:pPr>
        <w:pStyle w:val="102"/>
        <w:bidi w:val="0"/>
        <w:rPr>
          <w:rFonts w:hint="default"/>
          <w:color w:val="auto"/>
          <w:lang w:val="en-US" w:eastAsia="zh-CN"/>
        </w:rPr>
      </w:pPr>
      <w:r>
        <w:rPr>
          <w:rFonts w:hint="default"/>
          <w:color w:val="auto"/>
          <w:lang w:val="en-US" w:eastAsia="zh-CN"/>
        </w:rPr>
        <w:t>人员培训考核</w:t>
      </w:r>
      <w:r>
        <w:rPr>
          <w:rFonts w:hint="eastAsia"/>
          <w:color w:val="auto"/>
          <w:lang w:val="en-US" w:eastAsia="zh-CN"/>
        </w:rPr>
        <w:t>，记录人员基本信息、培训内容、考核结果、时间等；</w:t>
      </w:r>
    </w:p>
    <w:p>
      <w:pPr>
        <w:pStyle w:val="102"/>
        <w:bidi w:val="0"/>
        <w:rPr>
          <w:rFonts w:hint="default"/>
          <w:color w:val="auto"/>
          <w:lang w:val="en-US" w:eastAsia="zh-CN"/>
        </w:rPr>
      </w:pPr>
      <w:r>
        <w:rPr>
          <w:rFonts w:hint="eastAsia"/>
          <w:color w:val="auto"/>
          <w:lang w:val="en-US" w:eastAsia="zh-CN"/>
        </w:rPr>
        <w:t>原料采购，记录采购日期、供应商信息、原料名称、数量、保质期等；</w:t>
      </w:r>
    </w:p>
    <w:p>
      <w:pPr>
        <w:pStyle w:val="102"/>
        <w:bidi w:val="0"/>
        <w:rPr>
          <w:rFonts w:hint="default"/>
          <w:color w:val="auto"/>
          <w:lang w:val="en-US" w:eastAsia="zh-CN"/>
        </w:rPr>
      </w:pPr>
      <w:r>
        <w:rPr>
          <w:rFonts w:hint="eastAsia"/>
          <w:color w:val="auto"/>
          <w:lang w:val="en-US" w:eastAsia="zh-CN"/>
        </w:rPr>
        <w:t>食品添加剂采购及使用，记录采购日期、供应商信息、规格、数量、保质期、使用量、使用人员使用日期等；</w:t>
      </w:r>
    </w:p>
    <w:p>
      <w:pPr>
        <w:pStyle w:val="102"/>
        <w:bidi w:val="0"/>
        <w:rPr>
          <w:rFonts w:hint="default"/>
          <w:color w:val="auto"/>
          <w:lang w:val="en-US" w:eastAsia="zh-CN"/>
        </w:rPr>
      </w:pPr>
      <w:r>
        <w:rPr>
          <w:rFonts w:hint="default"/>
          <w:color w:val="auto"/>
          <w:lang w:val="en-US" w:eastAsia="zh-CN"/>
        </w:rPr>
        <w:t>原料</w:t>
      </w:r>
      <w:r>
        <w:rPr>
          <w:rFonts w:hint="eastAsia"/>
          <w:color w:val="auto"/>
          <w:lang w:val="en-US" w:eastAsia="zh-CN"/>
        </w:rPr>
        <w:t>贮存，记录贮存温度、时间、位置、库存、日期等；</w:t>
      </w:r>
    </w:p>
    <w:p>
      <w:pPr>
        <w:pStyle w:val="102"/>
        <w:bidi w:val="0"/>
        <w:rPr>
          <w:rFonts w:hint="default"/>
          <w:color w:val="auto"/>
          <w:lang w:val="en-US" w:eastAsia="zh-CN"/>
        </w:rPr>
      </w:pPr>
      <w:r>
        <w:rPr>
          <w:rFonts w:hint="default"/>
          <w:color w:val="auto"/>
          <w:lang w:val="en-US" w:eastAsia="zh-CN"/>
        </w:rPr>
        <w:t>餐厨废弃物处置</w:t>
      </w:r>
      <w:r>
        <w:rPr>
          <w:rFonts w:hint="eastAsia"/>
          <w:color w:val="auto"/>
          <w:lang w:val="en-US" w:eastAsia="zh-CN"/>
        </w:rPr>
        <w:t>，记录日期、类别等；</w:t>
      </w:r>
    </w:p>
    <w:p>
      <w:pPr>
        <w:pStyle w:val="102"/>
        <w:bidi w:val="0"/>
        <w:rPr>
          <w:rFonts w:hint="default"/>
          <w:color w:val="auto"/>
          <w:lang w:val="en-US" w:eastAsia="zh-CN"/>
        </w:rPr>
      </w:pPr>
      <w:r>
        <w:rPr>
          <w:rFonts w:hint="eastAsia"/>
          <w:color w:val="auto"/>
          <w:lang w:val="en-US" w:eastAsia="zh-CN"/>
        </w:rPr>
        <w:t>消毒记录，记录消毒日期、时间、区域、消毒剂种类和浓度等；</w:t>
      </w:r>
    </w:p>
    <w:p>
      <w:pPr>
        <w:pStyle w:val="102"/>
        <w:bidi w:val="0"/>
        <w:rPr>
          <w:rFonts w:hint="default"/>
          <w:color w:val="auto"/>
          <w:lang w:val="en-US" w:eastAsia="zh-CN"/>
        </w:rPr>
      </w:pPr>
      <w:r>
        <w:rPr>
          <w:rFonts w:hint="eastAsia"/>
          <w:color w:val="auto"/>
          <w:lang w:val="en-US" w:eastAsia="zh-CN"/>
        </w:rPr>
        <w:t>有害生物检查，记录检查日期、区域、发现的有害生物的种类和数量，后续采用措施；</w:t>
      </w:r>
    </w:p>
    <w:p>
      <w:pPr>
        <w:pStyle w:val="102"/>
        <w:bidi w:val="0"/>
        <w:rPr>
          <w:rFonts w:hint="default"/>
          <w:color w:val="auto"/>
          <w:lang w:val="en-US" w:eastAsia="zh-CN"/>
        </w:rPr>
      </w:pPr>
      <w:r>
        <w:rPr>
          <w:rFonts w:hint="default"/>
          <w:color w:val="auto"/>
          <w:lang w:val="en-US" w:eastAsia="zh-CN"/>
        </w:rPr>
        <w:t>消费者投诉处置</w:t>
      </w:r>
      <w:r>
        <w:rPr>
          <w:rFonts w:hint="eastAsia"/>
          <w:color w:val="auto"/>
          <w:lang w:val="en-US" w:eastAsia="zh-CN"/>
        </w:rPr>
        <w:t>，记录投诉内容、投诉时间、处理结果等；</w:t>
      </w:r>
    </w:p>
    <w:p>
      <w:pPr>
        <w:pStyle w:val="102"/>
        <w:bidi w:val="0"/>
        <w:rPr>
          <w:rFonts w:hint="default"/>
          <w:color w:val="auto"/>
          <w:lang w:val="en-US" w:eastAsia="zh-CN"/>
        </w:rPr>
      </w:pPr>
      <w:r>
        <w:rPr>
          <w:rFonts w:hint="default"/>
          <w:color w:val="auto"/>
          <w:lang w:val="en-US" w:eastAsia="zh-CN"/>
        </w:rPr>
        <w:t>卫生间清洁</w:t>
      </w:r>
      <w:r>
        <w:rPr>
          <w:rFonts w:hint="eastAsia"/>
          <w:color w:val="auto"/>
          <w:lang w:val="en-US" w:eastAsia="zh-CN"/>
        </w:rPr>
        <w:t>，记录清洁日期、清洁区域、清洁人员等；</w:t>
      </w:r>
    </w:p>
    <w:p>
      <w:pPr>
        <w:pStyle w:val="102"/>
        <w:bidi w:val="0"/>
        <w:rPr>
          <w:rFonts w:hint="default"/>
          <w:color w:val="auto"/>
          <w:lang w:val="en-US" w:eastAsia="zh-CN"/>
        </w:rPr>
      </w:pPr>
      <w:r>
        <w:rPr>
          <w:rFonts w:hint="eastAsia"/>
          <w:color w:val="auto"/>
          <w:lang w:val="en-US" w:eastAsia="zh-CN"/>
        </w:rPr>
        <w:t>满意度测评</w:t>
      </w:r>
      <w:r>
        <w:rPr>
          <w:rFonts w:hint="default"/>
          <w:color w:val="auto"/>
          <w:lang w:val="en-US" w:eastAsia="zh-CN"/>
        </w:rPr>
        <w:t>。</w:t>
      </w:r>
    </w:p>
    <w:p>
      <w:pPr>
        <w:pStyle w:val="63"/>
        <w:numPr>
          <w:ilvl w:val="2"/>
          <w:numId w:val="6"/>
        </w:numPr>
        <w:spacing w:before="0" w:beforeLines="0" w:after="0" w:afterLines="0"/>
        <w:jc w:val="both"/>
        <w:rPr>
          <w:rFonts w:hint="default" w:ascii="宋体" w:eastAsia="宋体" w:cs="Times New Roman"/>
          <w:color w:val="auto"/>
          <w:szCs w:val="20"/>
          <w:highlight w:val="none"/>
          <w:lang w:val="en-US" w:eastAsia="zh-CN"/>
        </w:rPr>
      </w:pPr>
      <w:r>
        <w:rPr>
          <w:rFonts w:hint="default" w:ascii="宋体" w:eastAsia="宋体" w:cs="Times New Roman"/>
          <w:color w:val="auto"/>
          <w:szCs w:val="20"/>
          <w:highlight w:val="none"/>
          <w:lang w:val="en-US" w:eastAsia="zh-CN"/>
        </w:rPr>
        <w:t>进货查验记录和相关凭证的保存期限</w:t>
      </w:r>
      <w:r>
        <w:rPr>
          <w:rFonts w:hint="eastAsia" w:ascii="宋体" w:eastAsia="宋体" w:cs="Times New Roman"/>
          <w:color w:val="auto"/>
          <w:szCs w:val="20"/>
          <w:highlight w:val="none"/>
          <w:lang w:val="en-US" w:eastAsia="zh-CN"/>
        </w:rPr>
        <w:t>不应</w:t>
      </w:r>
      <w:r>
        <w:rPr>
          <w:rFonts w:hint="default" w:ascii="宋体" w:eastAsia="宋体" w:cs="Times New Roman"/>
          <w:color w:val="auto"/>
          <w:szCs w:val="20"/>
          <w:highlight w:val="none"/>
          <w:lang w:val="en-US" w:eastAsia="zh-CN"/>
        </w:rPr>
        <w:t>少于产品保质期满后6个月</w:t>
      </w:r>
      <w:r>
        <w:rPr>
          <w:rFonts w:hint="eastAsia" w:ascii="宋体" w:eastAsia="宋体" w:cs="Times New Roman"/>
          <w:color w:val="auto"/>
          <w:szCs w:val="20"/>
          <w:highlight w:val="none"/>
          <w:lang w:val="en-US" w:eastAsia="zh-CN"/>
        </w:rPr>
        <w:t>；</w:t>
      </w:r>
      <w:r>
        <w:rPr>
          <w:rFonts w:hint="default" w:ascii="宋体" w:eastAsia="宋体" w:cs="Times New Roman"/>
          <w:color w:val="auto"/>
          <w:szCs w:val="20"/>
          <w:highlight w:val="none"/>
          <w:lang w:val="en-US" w:eastAsia="zh-CN"/>
        </w:rPr>
        <w:t>没有明确保质期的，保存期限</w:t>
      </w:r>
      <w:r>
        <w:rPr>
          <w:rFonts w:hint="eastAsia" w:ascii="宋体" w:eastAsia="宋体" w:cs="Times New Roman"/>
          <w:color w:val="auto"/>
          <w:szCs w:val="20"/>
          <w:highlight w:val="none"/>
          <w:lang w:val="en-US" w:eastAsia="zh-CN"/>
        </w:rPr>
        <w:t>不应</w:t>
      </w:r>
      <w:r>
        <w:rPr>
          <w:rFonts w:hint="default" w:ascii="宋体" w:eastAsia="宋体" w:cs="Times New Roman"/>
          <w:color w:val="auto"/>
          <w:szCs w:val="20"/>
          <w:highlight w:val="none"/>
          <w:lang w:val="en-US" w:eastAsia="zh-CN"/>
        </w:rPr>
        <w:t>少于2年。</w:t>
      </w:r>
      <w:r>
        <w:rPr>
          <w:rFonts w:hint="eastAsia" w:ascii="宋体" w:eastAsia="宋体" w:cs="Times New Roman"/>
          <w:color w:val="auto"/>
          <w:szCs w:val="20"/>
          <w:highlight w:val="none"/>
          <w:lang w:val="en-US" w:eastAsia="zh-CN"/>
        </w:rPr>
        <w:t>宜采用电子方式记录和保存相关内容。</w:t>
      </w:r>
    </w:p>
    <w:p>
      <w:pPr>
        <w:pStyle w:val="78"/>
        <w:spacing w:before="312" w:after="312"/>
        <w:outlineLvl w:val="0"/>
        <w:rPr>
          <w:rFonts w:hint="default" w:cs="Times New Roman"/>
          <w:color w:val="auto"/>
          <w:highlight w:val="none"/>
          <w:lang w:val="en-US" w:eastAsia="zh-CN"/>
        </w:rPr>
      </w:pPr>
      <w:bookmarkStart w:id="61" w:name="_Toc18783"/>
      <w:r>
        <w:rPr>
          <w:rFonts w:hint="eastAsia" w:cs="Times New Roman"/>
          <w:color w:val="auto"/>
          <w:highlight w:val="none"/>
          <w:lang w:val="en-US" w:eastAsia="zh-CN"/>
        </w:rPr>
        <w:t>食品安全应急处理</w:t>
      </w:r>
      <w:bookmarkEnd w:id="61"/>
    </w:p>
    <w:p>
      <w:pPr>
        <w:pStyle w:val="85"/>
        <w:bidi w:val="0"/>
        <w:rPr>
          <w:rFonts w:hint="eastAsia"/>
          <w:lang w:val="en-US" w:eastAsia="zh-CN"/>
        </w:rPr>
      </w:pPr>
      <w:bookmarkStart w:id="62" w:name="_Toc13543"/>
      <w:bookmarkStart w:id="63" w:name="_Toc2488"/>
      <w:bookmarkStart w:id="64" w:name="_Toc17702"/>
      <w:r>
        <w:rPr>
          <w:rFonts w:hint="eastAsia"/>
          <w:lang w:val="en-US" w:eastAsia="zh-CN"/>
        </w:rPr>
        <w:t>应建立食品安全应急制度。</w:t>
      </w:r>
      <w:bookmarkEnd w:id="62"/>
      <w:bookmarkEnd w:id="63"/>
      <w:bookmarkEnd w:id="64"/>
    </w:p>
    <w:p>
      <w:pPr>
        <w:pStyle w:val="85"/>
        <w:bidi w:val="0"/>
        <w:rPr>
          <w:rFonts w:hint="default"/>
          <w:lang w:val="en-US" w:eastAsia="zh-CN"/>
        </w:rPr>
      </w:pPr>
      <w:bookmarkStart w:id="65" w:name="_Toc28312"/>
      <w:bookmarkStart w:id="66" w:name="_Toc17190"/>
      <w:bookmarkStart w:id="67" w:name="_Toc10187"/>
      <w:r>
        <w:rPr>
          <w:rFonts w:hint="eastAsia"/>
          <w:lang w:val="en-US" w:eastAsia="zh-CN"/>
        </w:rPr>
        <w:t>发现食物中毒时应立即拨打120或组织人员将中毒者送至医院进行治疗。</w:t>
      </w:r>
      <w:bookmarkEnd w:id="65"/>
      <w:bookmarkEnd w:id="66"/>
      <w:bookmarkEnd w:id="67"/>
    </w:p>
    <w:p>
      <w:pPr>
        <w:pStyle w:val="85"/>
        <w:bidi w:val="0"/>
        <w:rPr>
          <w:rFonts w:hint="eastAsia"/>
          <w:lang w:val="en-US" w:eastAsia="zh-CN"/>
        </w:rPr>
      </w:pPr>
      <w:r>
        <w:rPr>
          <w:rFonts w:hint="eastAsia"/>
          <w:lang w:val="en-US" w:eastAsia="zh-CN"/>
        </w:rPr>
        <w:t>发现食物中毒时应保护好现场，封存造成食物中毒或者可能导致食物中毒的食品、可疑中毒食品及食品原料、工具及用具、设备设施。</w:t>
      </w:r>
    </w:p>
    <w:p>
      <w:pPr>
        <w:pStyle w:val="85"/>
        <w:bidi w:val="0"/>
        <w:rPr>
          <w:rFonts w:hint="default"/>
          <w:lang w:val="en-US" w:eastAsia="zh-CN"/>
        </w:rPr>
      </w:pPr>
      <w:r>
        <w:rPr>
          <w:rFonts w:hint="eastAsia"/>
          <w:lang w:val="en-US" w:eastAsia="zh-CN"/>
        </w:rPr>
        <w:t>发现食物中毒时应及时向有关部门报告，报告内容包括但不限于发生食物中毒的单位、地址、时间、中毒人数、主要临床表现、可疑中毒食品、救治措施及病人情况、处理情况、报告人及联系电话等有关内容，积极配合相关食品安全监督管理部门进行事故调查处理。</w:t>
      </w:r>
    </w:p>
    <w:p>
      <w:pPr>
        <w:pStyle w:val="78"/>
        <w:spacing w:before="312" w:after="312"/>
        <w:outlineLvl w:val="0"/>
        <w:rPr>
          <w:rFonts w:hint="default" w:cs="Times New Roman"/>
          <w:color w:val="auto"/>
          <w:highlight w:val="none"/>
          <w:lang w:val="en-US" w:eastAsia="zh-CN"/>
        </w:rPr>
      </w:pPr>
      <w:bookmarkStart w:id="68" w:name="_Toc30754"/>
      <w:r>
        <w:rPr>
          <w:rFonts w:hint="eastAsia" w:cs="Times New Roman"/>
          <w:color w:val="auto"/>
          <w:highlight w:val="none"/>
          <w:lang w:val="en-US" w:eastAsia="zh-CN"/>
        </w:rPr>
        <w:t>服务评价与改进</w:t>
      </w:r>
      <w:bookmarkEnd w:id="68"/>
    </w:p>
    <w:p>
      <w:pPr>
        <w:pStyle w:val="85"/>
        <w:bidi w:val="0"/>
        <w:rPr>
          <w:rFonts w:hint="eastAsia"/>
          <w:lang w:val="en-US" w:eastAsia="zh-CN"/>
        </w:rPr>
      </w:pPr>
      <w:r>
        <w:rPr>
          <w:rFonts w:hint="eastAsia"/>
          <w:lang w:val="en-US" w:eastAsia="zh-CN"/>
        </w:rPr>
        <w:t>应建立投诉受理制度，对消费者提出的口头或书面意见与投诉，立即追查原因，妥善处理，并且留有记录。</w:t>
      </w:r>
    </w:p>
    <w:p>
      <w:pPr>
        <w:pStyle w:val="85"/>
        <w:bidi w:val="0"/>
        <w:rPr>
          <w:rFonts w:hint="default"/>
          <w:lang w:val="en-US" w:eastAsia="zh-CN"/>
        </w:rPr>
      </w:pPr>
      <w:r>
        <w:rPr>
          <w:rFonts w:hint="eastAsia"/>
          <w:lang w:val="en-US" w:eastAsia="zh-CN"/>
        </w:rPr>
        <w:t>应定期开展满意度测评，包括但不限于发放满意度调查问卷表、现场访问和网上调查等，根据反馈进行统计分析，针对不足进行及时整改。</w:t>
      </w:r>
    </w:p>
    <w:p>
      <w:pPr>
        <w:pStyle w:val="22"/>
        <w:ind w:left="0" w:leftChars="0" w:firstLine="0" w:firstLineChars="0"/>
        <w:rPr>
          <w:rFonts w:hint="eastAsia"/>
          <w:color w:val="auto"/>
          <w:lang w:val="en-US" w:eastAsia="zh-CN"/>
        </w:rPr>
      </w:pPr>
    </w:p>
    <w:p>
      <w:pPr>
        <w:pStyle w:val="120"/>
        <w:framePr w:wrap="around" w:vAnchor="text" w:hAnchor="page" w:x="3946" w:y="164"/>
        <w:rPr>
          <w:rFonts w:hint="eastAsia"/>
          <w:color w:val="auto"/>
          <w:lang w:val="en-US" w:eastAsia="zh-CN"/>
        </w:rPr>
      </w:pPr>
      <w:r>
        <w:rPr>
          <w:color w:val="auto"/>
        </w:rPr>
        <w:t>_________________________________</w:t>
      </w:r>
    </w:p>
    <w:sectPr>
      <w:footerReference r:id="rId12" w:type="default"/>
      <w:footerReference r:id="rId13" w:type="even"/>
      <w:pgSz w:w="11906" w:h="16838"/>
      <w:pgMar w:top="1417" w:right="1134" w:bottom="1134" w:left="1418"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黒体-簡">
    <w:altName w:val="hakuyoxingshu7000"/>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jc w:val="both"/>
    </w:pPr>
    <w:r>
      <w:rPr>
        <w:sz w:val="18"/>
      </w:rPr>
      <mc:AlternateContent>
        <mc:Choice Requires="wps">
          <w:drawing>
            <wp:anchor distT="0" distB="0" distL="114300" distR="114300" simplePos="0" relativeHeight="251662336" behindDoc="0" locked="0" layoutInCell="1" allowOverlap="1">
              <wp:simplePos x="0" y="0"/>
              <wp:positionH relativeFrom="margin">
                <wp:posOffset>5812790</wp:posOffset>
              </wp:positionH>
              <wp:positionV relativeFrom="paragraph">
                <wp:posOffset>95885</wp:posOffset>
              </wp:positionV>
              <wp:extent cx="127000" cy="1771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7000" cy="177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1"/>
                            <w:keepNext w:val="0"/>
                            <w:keepLines w:val="0"/>
                            <w:pageBreakBefore w:val="0"/>
                            <w:widowControl/>
                            <w:kinsoku/>
                            <w:wordWrap/>
                            <w:overflowPunct/>
                            <w:topLinePunct w:val="0"/>
                            <w:bidi w:val="0"/>
                            <w:adjustRightInd/>
                            <w:snapToGrid/>
                            <w:spacing w:before="0"/>
                            <w:ind w:right="0"/>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7.7pt;margin-top:7.55pt;height:13.95pt;width:10pt;mso-position-horizontal-relative:margin;z-index:251662336;mso-width-relative:page;mso-height-relative:page;" filled="f" stroked="f" coordsize="21600,21600" o:gfxdata="UEsDBAoAAAAAAIdO4kAAAAAAAAAAAAAAAAAEAAAAZHJzL1BLAwQUAAAACACHTuJAceVNCdcAAAAJ&#10;AQAADwAAAGRycy9kb3ducmV2LnhtbE2Py07DMBBF90j8gzVI7Kht2iIa4nTBY8ezLRLsnNgkEfY4&#10;sp20/D3TFSxn7tGdM+X64B2bbEx9QAVyJoBZbILpsVWw2z5cXANLWaPRLqBV8GMTrKvTk1IXJuzx&#10;zU6b3DIqwVRoBV3OQ8F5ajrrdZqFwSJlXyF6nWmMLTdR76ncO34pxBX3uke60OnB3na2+d6MXoH7&#10;SPGxFvlzumuf8usLH9/v5bNS52dS3ADL9pD/YDjqkzpU5FSHEU1iTsFKLheEUrCUwAhYzY+LWsFi&#10;LoBXJf//QfULUEsDBBQAAAAIAIdO4kBqBw2nNgIAAGEEAAAOAAAAZHJzL2Uyb0RvYy54bWytVM1u&#10;EzEQviPxDpbvZDdBTaoomyo0CkKKaKWCODteO2vJ9hjbyW54AHgDTly481x5Dsb7k6LCoQcuzqxn&#10;5ht/38xkcdMYTY7CBwW2oONRTomwHEpl9wX9+GHz6pqSEJktmQYrCnoSgd4sX75Y1G4uJlCBLoUn&#10;CGLDvHYFrWJ08ywLvBKGhRE4YdEpwRsW8dPvs9KzGtGNziZ5Ps1q8KXzwEUIeLvunLRH9M8BBCkV&#10;F2vgByNs7FC90CwipVApF+iyfa2Ugsc7KYOIRBcUmcb2xCJo79KZLRdsvvfMVYr3T2DPecITToYp&#10;i0UvUGsWGTl49ReUUdxDABlHHEzWEWkVQRbj/Ik2DxVzouWCUgd3ET38P1j+/njviSoLim23zGDD&#10;z9+/nX/8Ov/8Sq6TPLULc4x6cBgXmzfQ4NAM9wEvE+tGepN+kQ9BP4p7uogrmkh4SprM8hw9HF3j&#10;2Ww8vUoo2WOy8yG+FWBIMgrqsXetpOy4DbELHUJSLQsbpXXbP21JXdDp66u8Tbh4EFxbrJEodE9N&#10;Vmx2Tc9rB+UJaXno5iI4vlFYfMtCvGceBwHfi6sS7/CQGrAI9BYlFfgv/7pP8dgf9FJS42AVNHw+&#10;MC8o0e8sdg4h42D4wdgNhj2YW8BZHeMSOt6amOCjHkzpwXzCDVqlKuhilmOtgsbBvI3deOMGcrFa&#10;tUEH59W+6hJw7hyLW/vgeCrTSbk6RJCqVTlJ1OnSK4eT1/ap35I02n9+t1GP/wz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lTQnXAAAACQEAAA8AAAAAAAAAAQAgAAAAIgAAAGRycy9kb3ducmV2&#10;LnhtbFBLAQIUABQAAAAIAIdO4kBqBw2nNgIAAGEEAAAOAAAAAAAAAAEAIAAAACYBAABkcnMvZTJv&#10;RG9jLnhtbFBLBQYAAAAABgAGAFkBAADOBQAAAAA=&#10;">
              <v:fill on="f" focussize="0,0"/>
              <v:stroke on="f" weight="0.5pt"/>
              <v:imagedata o:title=""/>
              <o:lock v:ext="edit" aspectratio="f"/>
              <v:textbox inset="0mm,0mm,0mm,0mm">
                <w:txbxContent>
                  <w:p>
                    <w:pPr>
                      <w:pStyle w:val="81"/>
                      <w:keepNext w:val="0"/>
                      <w:keepLines w:val="0"/>
                      <w:pageBreakBefore w:val="0"/>
                      <w:widowControl/>
                      <w:kinsoku/>
                      <w:wordWrap/>
                      <w:overflowPunct/>
                      <w:topLinePunct w:val="0"/>
                      <w:bidi w:val="0"/>
                      <w:adjustRightInd/>
                      <w:snapToGrid/>
                      <w:spacing w:before="0"/>
                      <w:ind w:right="0"/>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bottom w:val="none" w:color="auto" w:sz="0" w:space="0"/>
      </w:pBdr>
      <w:wordWrap w:val="0"/>
      <w:rPr>
        <w:rFonts w:hint="eastAsia" w:eastAsia="黑体"/>
        <w:lang w:val="en-US" w:eastAsia="zh-CN"/>
      </w:rPr>
    </w:pPr>
    <w:r>
      <w:rPr>
        <w:rFonts w:hint="eastAsia" w:ascii="Times New Roman"/>
      </w:rPr>
      <w:t>DB42/T</w:t>
    </w:r>
    <w:r>
      <w:rPr>
        <w:rFonts w:hint="eastAsia" w:hAnsi="黑体"/>
      </w:rPr>
      <w:t xml:space="preserve"> </w:t>
    </w:r>
    <w:r>
      <w:rPr>
        <w:rFonts w:hint="eastAsia" w:hAnsi="黑体"/>
        <w:lang w:val="en-US" w:eastAsia="zh-CN"/>
      </w:rPr>
      <w:t>xxxx</w:t>
    </w:r>
    <w:r>
      <w:rPr>
        <w:rFonts w:hAnsi="黑体"/>
      </w:rPr>
      <w:t>—</w:t>
    </w:r>
    <w:r>
      <w:rPr>
        <w:rFonts w:hint="eastAsia" w:hAnsi="黑体"/>
      </w:rPr>
      <w:t>202</w:t>
    </w:r>
    <w:r>
      <w:rPr>
        <w:rFonts w:hint="eastAsia" w:hAnsi="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bottom w:val="none" w:color="auto" w:sz="0" w:space="0"/>
      </w:pBdr>
      <w:wordWrap/>
      <w:jc w:val="left"/>
      <w:rPr>
        <w:rFonts w:hint="eastAsia" w:eastAsia="黑体"/>
        <w:lang w:val="en-US" w:eastAsia="zh-CN"/>
      </w:rPr>
    </w:pPr>
    <w:r>
      <w:rPr>
        <w:rFonts w:hint="eastAsia" w:ascii="Times New Roman"/>
      </w:rPr>
      <w:t>DB42/T</w:t>
    </w:r>
    <w:r>
      <w:rPr>
        <w:rFonts w:hint="eastAsia" w:hAnsi="黑体"/>
      </w:rPr>
      <w:t xml:space="preserve"> </w:t>
    </w:r>
    <w:r>
      <w:rPr>
        <w:rFonts w:hint="eastAsia" w:hAnsi="黑体"/>
        <w:lang w:val="en-US" w:eastAsia="zh-CN"/>
      </w:rPr>
      <w:t>xxxx</w:t>
    </w:r>
    <w:r>
      <w:rPr>
        <w:rFonts w:hAnsi="黑体"/>
      </w:rPr>
      <w:t>—</w:t>
    </w:r>
    <w:r>
      <w:rPr>
        <w:rFonts w:hint="eastAsia" w:hAnsi="黑体"/>
      </w:rPr>
      <w:t>202</w:t>
    </w:r>
    <w:r>
      <w:rPr>
        <w:rFonts w:hint="eastAsia" w:hAnsi="黑体"/>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bottom w:val="none" w:color="auto" w:sz="0" w:space="0"/>
      </w:pBdr>
      <w:wordWrap w:val="0"/>
      <w:rPr>
        <w:rFonts w:hint="eastAsia" w:eastAsia="黑体"/>
        <w:lang w:val="en-US" w:eastAsia="zh-CN"/>
      </w:rPr>
    </w:pPr>
    <w:r>
      <w:rPr>
        <w:rFonts w:hint="eastAsia" w:ascii="Times New Roman"/>
      </w:rPr>
      <w:t>DB42/T</w:t>
    </w:r>
    <w:r>
      <w:rPr>
        <w:rFonts w:hint="eastAsia" w:hAnsi="黑体"/>
      </w:rPr>
      <w:t xml:space="preserve"> </w:t>
    </w:r>
    <w:r>
      <w:rPr>
        <w:rFonts w:hint="eastAsia" w:hAnsi="黑体"/>
        <w:lang w:val="en-US" w:eastAsia="zh-CN"/>
      </w:rPr>
      <w:t>xxxx</w:t>
    </w:r>
    <w:r>
      <w:rPr>
        <w:rFonts w:hAnsi="黑体"/>
      </w:rPr>
      <w:t>—</w:t>
    </w:r>
    <w:r>
      <w:rPr>
        <w:rFonts w:hint="eastAsia" w:hAnsi="黑体"/>
      </w:rPr>
      <w:t>202</w:t>
    </w:r>
    <w:r>
      <w:rPr>
        <w:rFonts w:hint="eastAsia" w:hAnsi="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18"/>
      <w:suff w:val="space"/>
      <w:lvlText w:val="%1"/>
      <w:lvlJc w:val="left"/>
      <w:pPr>
        <w:ind w:left="623" w:hanging="425"/>
      </w:pPr>
      <w:rPr>
        <w:rFonts w:hint="eastAsia"/>
      </w:rPr>
    </w:lvl>
    <w:lvl w:ilvl="1" w:tentative="0">
      <w:start w:val="1"/>
      <w:numFmt w:val="decimal"/>
      <w:pStyle w:val="12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2"/>
      <w:suff w:val="nothing"/>
      <w:lvlText w:val="%1——"/>
      <w:lvlJc w:val="left"/>
      <w:pPr>
        <w:ind w:left="833" w:hanging="408"/>
      </w:pPr>
      <w:rPr>
        <w:rFonts w:hint="eastAsia"/>
        <w:lang w:val="en-US"/>
      </w:rPr>
    </w:lvl>
    <w:lvl w:ilvl="1" w:tentative="0">
      <w:start w:val="1"/>
      <w:numFmt w:val="bullet"/>
      <w:pStyle w:val="107"/>
      <w:lvlText w:val=""/>
      <w:lvlJc w:val="left"/>
      <w:pPr>
        <w:tabs>
          <w:tab w:val="left" w:pos="760"/>
        </w:tabs>
        <w:ind w:left="1264" w:hanging="413"/>
      </w:pPr>
      <w:rPr>
        <w:rFonts w:hint="default" w:ascii="Symbol" w:hAnsi="Symbol"/>
        <w:color w:val="auto"/>
      </w:rPr>
    </w:lvl>
    <w:lvl w:ilvl="2" w:tentative="0">
      <w:start w:val="1"/>
      <w:numFmt w:val="bullet"/>
      <w:pStyle w:val="9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9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11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53"/>
      <w:suff w:val="nothing"/>
      <w:lvlText w:val="附　录　%1"/>
      <w:lvlJc w:val="left"/>
      <w:pPr>
        <w:ind w:left="5954" w:firstLine="0"/>
      </w:pPr>
      <w:rPr>
        <w:rFonts w:hint="eastAsia" w:ascii="黑体" w:hAnsi="Times New Roman" w:eastAsia="黑体"/>
        <w:b w:val="0"/>
        <w:i w:val="0"/>
        <w:spacing w:val="0"/>
        <w:w w:val="10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12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4"/>
  </w:num>
  <w:num w:numId="4">
    <w:abstractNumId w:val="13"/>
  </w:num>
  <w:num w:numId="5">
    <w:abstractNumId w:val="9"/>
  </w:num>
  <w:num w:numId="6">
    <w:abstractNumId w:val="5"/>
  </w:num>
  <w:num w:numId="7">
    <w:abstractNumId w:val="2"/>
  </w:num>
  <w:num w:numId="8">
    <w:abstractNumId w:val="0"/>
  </w:num>
  <w:num w:numId="9">
    <w:abstractNumId w:val="12"/>
  </w:num>
  <w:num w:numId="10">
    <w:abstractNumId w:val="7"/>
  </w:num>
  <w:num w:numId="11">
    <w:abstractNumId w:val="16"/>
  </w:num>
  <w:num w:numId="12">
    <w:abstractNumId w:val="10"/>
  </w:num>
  <w:num w:numId="13">
    <w:abstractNumId w:val="4"/>
  </w:num>
  <w:num w:numId="14">
    <w:abstractNumId w:val="11"/>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OTY0NTU0M2U4ZjM1ODg0MjljZjgwMjI4MjM4NGUifQ=="/>
  </w:docVars>
  <w:rsids>
    <w:rsidRoot w:val="00035925"/>
    <w:rsid w:val="00000244"/>
    <w:rsid w:val="0000185F"/>
    <w:rsid w:val="0000586F"/>
    <w:rsid w:val="00013D86"/>
    <w:rsid w:val="00013E02"/>
    <w:rsid w:val="0002143C"/>
    <w:rsid w:val="00025A65"/>
    <w:rsid w:val="00026C31"/>
    <w:rsid w:val="00027280"/>
    <w:rsid w:val="000302DD"/>
    <w:rsid w:val="000320A7"/>
    <w:rsid w:val="00034527"/>
    <w:rsid w:val="00035925"/>
    <w:rsid w:val="00035B48"/>
    <w:rsid w:val="00044B96"/>
    <w:rsid w:val="000608F4"/>
    <w:rsid w:val="000614C6"/>
    <w:rsid w:val="0006253B"/>
    <w:rsid w:val="000656A6"/>
    <w:rsid w:val="00067CDF"/>
    <w:rsid w:val="00073CC2"/>
    <w:rsid w:val="00074FBE"/>
    <w:rsid w:val="00083A09"/>
    <w:rsid w:val="0009005E"/>
    <w:rsid w:val="00091D38"/>
    <w:rsid w:val="00092857"/>
    <w:rsid w:val="000A1C45"/>
    <w:rsid w:val="000A20A9"/>
    <w:rsid w:val="000A48B1"/>
    <w:rsid w:val="000B3143"/>
    <w:rsid w:val="000C01D8"/>
    <w:rsid w:val="000C6B05"/>
    <w:rsid w:val="000C6DD6"/>
    <w:rsid w:val="000C73D4"/>
    <w:rsid w:val="000D3D4C"/>
    <w:rsid w:val="000D4F51"/>
    <w:rsid w:val="000D718B"/>
    <w:rsid w:val="000E048F"/>
    <w:rsid w:val="000E0C46"/>
    <w:rsid w:val="000F030C"/>
    <w:rsid w:val="000F129C"/>
    <w:rsid w:val="000F301B"/>
    <w:rsid w:val="000F7E35"/>
    <w:rsid w:val="00100748"/>
    <w:rsid w:val="001056DE"/>
    <w:rsid w:val="00111AC2"/>
    <w:rsid w:val="001124C0"/>
    <w:rsid w:val="001203CF"/>
    <w:rsid w:val="00120E1C"/>
    <w:rsid w:val="001238DE"/>
    <w:rsid w:val="00123B52"/>
    <w:rsid w:val="0013175F"/>
    <w:rsid w:val="001370FC"/>
    <w:rsid w:val="00147910"/>
    <w:rsid w:val="001512B4"/>
    <w:rsid w:val="001620A5"/>
    <w:rsid w:val="00164E53"/>
    <w:rsid w:val="0016699D"/>
    <w:rsid w:val="00171300"/>
    <w:rsid w:val="00175159"/>
    <w:rsid w:val="00176208"/>
    <w:rsid w:val="0018211B"/>
    <w:rsid w:val="001840D3"/>
    <w:rsid w:val="001900F8"/>
    <w:rsid w:val="00191258"/>
    <w:rsid w:val="00191838"/>
    <w:rsid w:val="00192680"/>
    <w:rsid w:val="00193037"/>
    <w:rsid w:val="00193A2C"/>
    <w:rsid w:val="001953D4"/>
    <w:rsid w:val="001A288E"/>
    <w:rsid w:val="001A483E"/>
    <w:rsid w:val="001B11B7"/>
    <w:rsid w:val="001B6DC2"/>
    <w:rsid w:val="001C149C"/>
    <w:rsid w:val="001C21AC"/>
    <w:rsid w:val="001C47BA"/>
    <w:rsid w:val="001C59EA"/>
    <w:rsid w:val="001C65DA"/>
    <w:rsid w:val="001D3C1A"/>
    <w:rsid w:val="001D406C"/>
    <w:rsid w:val="001D41EE"/>
    <w:rsid w:val="001D4C2B"/>
    <w:rsid w:val="001E0380"/>
    <w:rsid w:val="001E13B1"/>
    <w:rsid w:val="001F31B6"/>
    <w:rsid w:val="001F3A19"/>
    <w:rsid w:val="0021514E"/>
    <w:rsid w:val="00226863"/>
    <w:rsid w:val="00233DF3"/>
    <w:rsid w:val="00234467"/>
    <w:rsid w:val="0023542F"/>
    <w:rsid w:val="00237D8D"/>
    <w:rsid w:val="00241404"/>
    <w:rsid w:val="00241DA2"/>
    <w:rsid w:val="00246218"/>
    <w:rsid w:val="00247FEE"/>
    <w:rsid w:val="00250E7D"/>
    <w:rsid w:val="002565D5"/>
    <w:rsid w:val="002622C0"/>
    <w:rsid w:val="0026362F"/>
    <w:rsid w:val="00272300"/>
    <w:rsid w:val="002737AB"/>
    <w:rsid w:val="00276064"/>
    <w:rsid w:val="002778AE"/>
    <w:rsid w:val="0028269A"/>
    <w:rsid w:val="00283590"/>
    <w:rsid w:val="00286973"/>
    <w:rsid w:val="00294E70"/>
    <w:rsid w:val="002A1924"/>
    <w:rsid w:val="002A337E"/>
    <w:rsid w:val="002A7420"/>
    <w:rsid w:val="002B0F12"/>
    <w:rsid w:val="002B1308"/>
    <w:rsid w:val="002B4554"/>
    <w:rsid w:val="002C2279"/>
    <w:rsid w:val="002C72D8"/>
    <w:rsid w:val="002D0294"/>
    <w:rsid w:val="002D11FA"/>
    <w:rsid w:val="002E0DDF"/>
    <w:rsid w:val="002E2906"/>
    <w:rsid w:val="002E5635"/>
    <w:rsid w:val="002E64C3"/>
    <w:rsid w:val="002E6A2C"/>
    <w:rsid w:val="002F1D8C"/>
    <w:rsid w:val="002F21DA"/>
    <w:rsid w:val="00301F39"/>
    <w:rsid w:val="0031549C"/>
    <w:rsid w:val="00325926"/>
    <w:rsid w:val="00327A8A"/>
    <w:rsid w:val="00336610"/>
    <w:rsid w:val="00343F73"/>
    <w:rsid w:val="00345060"/>
    <w:rsid w:val="0035323B"/>
    <w:rsid w:val="003609D2"/>
    <w:rsid w:val="00363F22"/>
    <w:rsid w:val="00364BF2"/>
    <w:rsid w:val="00375564"/>
    <w:rsid w:val="00383191"/>
    <w:rsid w:val="00386DED"/>
    <w:rsid w:val="00387AF4"/>
    <w:rsid w:val="003912E7"/>
    <w:rsid w:val="00393947"/>
    <w:rsid w:val="00394005"/>
    <w:rsid w:val="003A2275"/>
    <w:rsid w:val="003A4BB8"/>
    <w:rsid w:val="003A6A4F"/>
    <w:rsid w:val="003A7088"/>
    <w:rsid w:val="003B00DF"/>
    <w:rsid w:val="003B1275"/>
    <w:rsid w:val="003B1778"/>
    <w:rsid w:val="003C11CB"/>
    <w:rsid w:val="003C1F93"/>
    <w:rsid w:val="003C339F"/>
    <w:rsid w:val="003C4754"/>
    <w:rsid w:val="003C75F3"/>
    <w:rsid w:val="003C78A3"/>
    <w:rsid w:val="003E0D66"/>
    <w:rsid w:val="003E1867"/>
    <w:rsid w:val="003E5729"/>
    <w:rsid w:val="003E5BCC"/>
    <w:rsid w:val="003F4162"/>
    <w:rsid w:val="003F4EE0"/>
    <w:rsid w:val="003F58A1"/>
    <w:rsid w:val="003F663A"/>
    <w:rsid w:val="00402153"/>
    <w:rsid w:val="00402FC1"/>
    <w:rsid w:val="00404798"/>
    <w:rsid w:val="00404982"/>
    <w:rsid w:val="0041053E"/>
    <w:rsid w:val="00414E2C"/>
    <w:rsid w:val="00417EF4"/>
    <w:rsid w:val="00425082"/>
    <w:rsid w:val="00431DEB"/>
    <w:rsid w:val="00446B29"/>
    <w:rsid w:val="0044770D"/>
    <w:rsid w:val="00453F9A"/>
    <w:rsid w:val="00471E91"/>
    <w:rsid w:val="00472540"/>
    <w:rsid w:val="00474675"/>
    <w:rsid w:val="0047470C"/>
    <w:rsid w:val="00481150"/>
    <w:rsid w:val="0048683C"/>
    <w:rsid w:val="00492A94"/>
    <w:rsid w:val="004A1AA7"/>
    <w:rsid w:val="004A35F9"/>
    <w:rsid w:val="004B24C1"/>
    <w:rsid w:val="004B3066"/>
    <w:rsid w:val="004B7394"/>
    <w:rsid w:val="004C292F"/>
    <w:rsid w:val="004E0166"/>
    <w:rsid w:val="004E7CC8"/>
    <w:rsid w:val="004F38CB"/>
    <w:rsid w:val="004F68DE"/>
    <w:rsid w:val="0050628F"/>
    <w:rsid w:val="00510280"/>
    <w:rsid w:val="00513D73"/>
    <w:rsid w:val="00514A43"/>
    <w:rsid w:val="00514B44"/>
    <w:rsid w:val="005174E5"/>
    <w:rsid w:val="00522393"/>
    <w:rsid w:val="00522620"/>
    <w:rsid w:val="00525656"/>
    <w:rsid w:val="0053355E"/>
    <w:rsid w:val="00534C02"/>
    <w:rsid w:val="00537286"/>
    <w:rsid w:val="0054264B"/>
    <w:rsid w:val="00543786"/>
    <w:rsid w:val="00550B1E"/>
    <w:rsid w:val="005533D7"/>
    <w:rsid w:val="00555689"/>
    <w:rsid w:val="00557591"/>
    <w:rsid w:val="005703DE"/>
    <w:rsid w:val="0058464E"/>
    <w:rsid w:val="00591BFE"/>
    <w:rsid w:val="005A01CB"/>
    <w:rsid w:val="005A58FF"/>
    <w:rsid w:val="005A5EAF"/>
    <w:rsid w:val="005A64C0"/>
    <w:rsid w:val="005B3C11"/>
    <w:rsid w:val="005C1C28"/>
    <w:rsid w:val="005C6DB5"/>
    <w:rsid w:val="005D43A2"/>
    <w:rsid w:val="005D74BB"/>
    <w:rsid w:val="005E19E7"/>
    <w:rsid w:val="005E31CB"/>
    <w:rsid w:val="00603FB1"/>
    <w:rsid w:val="00606D61"/>
    <w:rsid w:val="0061276B"/>
    <w:rsid w:val="0061716C"/>
    <w:rsid w:val="006200CC"/>
    <w:rsid w:val="006230D6"/>
    <w:rsid w:val="006243A1"/>
    <w:rsid w:val="00632E56"/>
    <w:rsid w:val="00635CBA"/>
    <w:rsid w:val="006379A1"/>
    <w:rsid w:val="006424C1"/>
    <w:rsid w:val="0064338B"/>
    <w:rsid w:val="00646542"/>
    <w:rsid w:val="006504F4"/>
    <w:rsid w:val="00654BC9"/>
    <w:rsid w:val="006552FD"/>
    <w:rsid w:val="0066113F"/>
    <w:rsid w:val="006616FA"/>
    <w:rsid w:val="00663AF3"/>
    <w:rsid w:val="00666B6C"/>
    <w:rsid w:val="00667BE0"/>
    <w:rsid w:val="00682682"/>
    <w:rsid w:val="00682702"/>
    <w:rsid w:val="006836C9"/>
    <w:rsid w:val="006846FB"/>
    <w:rsid w:val="00692368"/>
    <w:rsid w:val="006A2EBC"/>
    <w:rsid w:val="006A5EA0"/>
    <w:rsid w:val="006A783B"/>
    <w:rsid w:val="006A7B33"/>
    <w:rsid w:val="006B4E13"/>
    <w:rsid w:val="006B66F3"/>
    <w:rsid w:val="006B75DD"/>
    <w:rsid w:val="006C5804"/>
    <w:rsid w:val="006C67E0"/>
    <w:rsid w:val="006C7ABA"/>
    <w:rsid w:val="006D0D60"/>
    <w:rsid w:val="006D1122"/>
    <w:rsid w:val="006D3C00"/>
    <w:rsid w:val="006D54B9"/>
    <w:rsid w:val="006E0D60"/>
    <w:rsid w:val="006E3675"/>
    <w:rsid w:val="006E4A7F"/>
    <w:rsid w:val="006F1B3D"/>
    <w:rsid w:val="006F3F4B"/>
    <w:rsid w:val="00701720"/>
    <w:rsid w:val="00704DF6"/>
    <w:rsid w:val="0070651C"/>
    <w:rsid w:val="007122DA"/>
    <w:rsid w:val="007132A3"/>
    <w:rsid w:val="00716421"/>
    <w:rsid w:val="00724EFB"/>
    <w:rsid w:val="007419C3"/>
    <w:rsid w:val="00743B71"/>
    <w:rsid w:val="007467A7"/>
    <w:rsid w:val="007469DD"/>
    <w:rsid w:val="0074741B"/>
    <w:rsid w:val="0074759E"/>
    <w:rsid w:val="007478EA"/>
    <w:rsid w:val="00753492"/>
    <w:rsid w:val="0075415C"/>
    <w:rsid w:val="00763502"/>
    <w:rsid w:val="00786AA5"/>
    <w:rsid w:val="007913AB"/>
    <w:rsid w:val="007914F7"/>
    <w:rsid w:val="007B1625"/>
    <w:rsid w:val="007B706E"/>
    <w:rsid w:val="007B71EB"/>
    <w:rsid w:val="007C3970"/>
    <w:rsid w:val="007C6205"/>
    <w:rsid w:val="007C686A"/>
    <w:rsid w:val="007C728E"/>
    <w:rsid w:val="007D0736"/>
    <w:rsid w:val="007D2C53"/>
    <w:rsid w:val="007D3D60"/>
    <w:rsid w:val="007E1980"/>
    <w:rsid w:val="007E4B76"/>
    <w:rsid w:val="007E5EA8"/>
    <w:rsid w:val="007F0CF1"/>
    <w:rsid w:val="007F12A5"/>
    <w:rsid w:val="007F4CF1"/>
    <w:rsid w:val="007F758D"/>
    <w:rsid w:val="007F7D52"/>
    <w:rsid w:val="008034A0"/>
    <w:rsid w:val="008055A2"/>
    <w:rsid w:val="0080654C"/>
    <w:rsid w:val="008071C6"/>
    <w:rsid w:val="00817A00"/>
    <w:rsid w:val="0082230B"/>
    <w:rsid w:val="0083156F"/>
    <w:rsid w:val="00835DB3"/>
    <w:rsid w:val="0083617B"/>
    <w:rsid w:val="008371BD"/>
    <w:rsid w:val="0084090B"/>
    <w:rsid w:val="00840F29"/>
    <w:rsid w:val="008504A8"/>
    <w:rsid w:val="0085282E"/>
    <w:rsid w:val="008577D8"/>
    <w:rsid w:val="008603D2"/>
    <w:rsid w:val="00860A34"/>
    <w:rsid w:val="008615D8"/>
    <w:rsid w:val="00865AD6"/>
    <w:rsid w:val="00870452"/>
    <w:rsid w:val="0087198C"/>
    <w:rsid w:val="00872C1F"/>
    <w:rsid w:val="00873B42"/>
    <w:rsid w:val="0087593F"/>
    <w:rsid w:val="008850B8"/>
    <w:rsid w:val="008856D8"/>
    <w:rsid w:val="00887FDB"/>
    <w:rsid w:val="00892DB9"/>
    <w:rsid w:val="00892E82"/>
    <w:rsid w:val="008A56DC"/>
    <w:rsid w:val="008B1DFE"/>
    <w:rsid w:val="008B2312"/>
    <w:rsid w:val="008C1B58"/>
    <w:rsid w:val="008C39AE"/>
    <w:rsid w:val="008C590D"/>
    <w:rsid w:val="008E0116"/>
    <w:rsid w:val="008E031B"/>
    <w:rsid w:val="008E7029"/>
    <w:rsid w:val="008E7EF6"/>
    <w:rsid w:val="008F1F98"/>
    <w:rsid w:val="008F6758"/>
    <w:rsid w:val="00903DA5"/>
    <w:rsid w:val="009040DD"/>
    <w:rsid w:val="009057F8"/>
    <w:rsid w:val="00905B47"/>
    <w:rsid w:val="0090732B"/>
    <w:rsid w:val="0091331C"/>
    <w:rsid w:val="00915839"/>
    <w:rsid w:val="009279DE"/>
    <w:rsid w:val="00930116"/>
    <w:rsid w:val="009334F8"/>
    <w:rsid w:val="009410DA"/>
    <w:rsid w:val="00941324"/>
    <w:rsid w:val="0094212C"/>
    <w:rsid w:val="00954689"/>
    <w:rsid w:val="009617C9"/>
    <w:rsid w:val="00961C93"/>
    <w:rsid w:val="00965324"/>
    <w:rsid w:val="0097091E"/>
    <w:rsid w:val="009760D3"/>
    <w:rsid w:val="00977132"/>
    <w:rsid w:val="00981A4B"/>
    <w:rsid w:val="00982501"/>
    <w:rsid w:val="009871FA"/>
    <w:rsid w:val="009877D3"/>
    <w:rsid w:val="00994E8F"/>
    <w:rsid w:val="009951DC"/>
    <w:rsid w:val="009959BB"/>
    <w:rsid w:val="00997158"/>
    <w:rsid w:val="009A1BA3"/>
    <w:rsid w:val="009A3A7C"/>
    <w:rsid w:val="009A50D6"/>
    <w:rsid w:val="009A7664"/>
    <w:rsid w:val="009B2ADB"/>
    <w:rsid w:val="009B603A"/>
    <w:rsid w:val="009C1D46"/>
    <w:rsid w:val="009C2D0E"/>
    <w:rsid w:val="009C3DAC"/>
    <w:rsid w:val="009C42E0"/>
    <w:rsid w:val="009D5362"/>
    <w:rsid w:val="009E0225"/>
    <w:rsid w:val="009E1415"/>
    <w:rsid w:val="009E3025"/>
    <w:rsid w:val="009E5667"/>
    <w:rsid w:val="009E6116"/>
    <w:rsid w:val="00A0054A"/>
    <w:rsid w:val="00A009D0"/>
    <w:rsid w:val="00A02135"/>
    <w:rsid w:val="00A02E43"/>
    <w:rsid w:val="00A065F9"/>
    <w:rsid w:val="00A07F34"/>
    <w:rsid w:val="00A22154"/>
    <w:rsid w:val="00A25C38"/>
    <w:rsid w:val="00A27E59"/>
    <w:rsid w:val="00A33A4E"/>
    <w:rsid w:val="00A36BBE"/>
    <w:rsid w:val="00A40015"/>
    <w:rsid w:val="00A4307A"/>
    <w:rsid w:val="00A47EBB"/>
    <w:rsid w:val="00A51CDD"/>
    <w:rsid w:val="00A56592"/>
    <w:rsid w:val="00A6730D"/>
    <w:rsid w:val="00A71625"/>
    <w:rsid w:val="00A71B9B"/>
    <w:rsid w:val="00A751C7"/>
    <w:rsid w:val="00A75747"/>
    <w:rsid w:val="00A77F96"/>
    <w:rsid w:val="00A81D4E"/>
    <w:rsid w:val="00A87844"/>
    <w:rsid w:val="00AA038C"/>
    <w:rsid w:val="00AA7A09"/>
    <w:rsid w:val="00AB06FB"/>
    <w:rsid w:val="00AB3B50"/>
    <w:rsid w:val="00AC05B1"/>
    <w:rsid w:val="00AC146C"/>
    <w:rsid w:val="00AC37D6"/>
    <w:rsid w:val="00AD342B"/>
    <w:rsid w:val="00AD356C"/>
    <w:rsid w:val="00AE2914"/>
    <w:rsid w:val="00AE6D15"/>
    <w:rsid w:val="00B04182"/>
    <w:rsid w:val="00B05917"/>
    <w:rsid w:val="00B07AE3"/>
    <w:rsid w:val="00B11430"/>
    <w:rsid w:val="00B1685E"/>
    <w:rsid w:val="00B27174"/>
    <w:rsid w:val="00B353EB"/>
    <w:rsid w:val="00B439C4"/>
    <w:rsid w:val="00B4535E"/>
    <w:rsid w:val="00B52A8C"/>
    <w:rsid w:val="00B636A8"/>
    <w:rsid w:val="00B64E85"/>
    <w:rsid w:val="00B66435"/>
    <w:rsid w:val="00B665C6"/>
    <w:rsid w:val="00B71844"/>
    <w:rsid w:val="00B805AF"/>
    <w:rsid w:val="00B82619"/>
    <w:rsid w:val="00B843DF"/>
    <w:rsid w:val="00B869EC"/>
    <w:rsid w:val="00B86F01"/>
    <w:rsid w:val="00B9397A"/>
    <w:rsid w:val="00B9633D"/>
    <w:rsid w:val="00BA2EBE"/>
    <w:rsid w:val="00BA533C"/>
    <w:rsid w:val="00BB0F28"/>
    <w:rsid w:val="00BB458A"/>
    <w:rsid w:val="00BC621B"/>
    <w:rsid w:val="00BD00D3"/>
    <w:rsid w:val="00BD1659"/>
    <w:rsid w:val="00BD3AA9"/>
    <w:rsid w:val="00BD4A18"/>
    <w:rsid w:val="00BD4A9D"/>
    <w:rsid w:val="00BD6DB2"/>
    <w:rsid w:val="00BE11CF"/>
    <w:rsid w:val="00BE21AB"/>
    <w:rsid w:val="00BE55CB"/>
    <w:rsid w:val="00BF617A"/>
    <w:rsid w:val="00C0168A"/>
    <w:rsid w:val="00C01E42"/>
    <w:rsid w:val="00C0379D"/>
    <w:rsid w:val="00C03931"/>
    <w:rsid w:val="00C0554B"/>
    <w:rsid w:val="00C05FE3"/>
    <w:rsid w:val="00C072D7"/>
    <w:rsid w:val="00C16329"/>
    <w:rsid w:val="00C2136D"/>
    <w:rsid w:val="00C214EE"/>
    <w:rsid w:val="00C22689"/>
    <w:rsid w:val="00C2314B"/>
    <w:rsid w:val="00C235BE"/>
    <w:rsid w:val="00C24971"/>
    <w:rsid w:val="00C26BE5"/>
    <w:rsid w:val="00C26E4D"/>
    <w:rsid w:val="00C27909"/>
    <w:rsid w:val="00C27B03"/>
    <w:rsid w:val="00C314E1"/>
    <w:rsid w:val="00C34397"/>
    <w:rsid w:val="00C36D1C"/>
    <w:rsid w:val="00C372F0"/>
    <w:rsid w:val="00C4095D"/>
    <w:rsid w:val="00C41A4D"/>
    <w:rsid w:val="00C50318"/>
    <w:rsid w:val="00C601D2"/>
    <w:rsid w:val="00C65BCC"/>
    <w:rsid w:val="00C66970"/>
    <w:rsid w:val="00C8691C"/>
    <w:rsid w:val="00C939D7"/>
    <w:rsid w:val="00C96C93"/>
    <w:rsid w:val="00CA168A"/>
    <w:rsid w:val="00CA357E"/>
    <w:rsid w:val="00CA44F9"/>
    <w:rsid w:val="00CA4A69"/>
    <w:rsid w:val="00CB70DD"/>
    <w:rsid w:val="00CC3E0C"/>
    <w:rsid w:val="00CC58D3"/>
    <w:rsid w:val="00CC784D"/>
    <w:rsid w:val="00D000C6"/>
    <w:rsid w:val="00D0337B"/>
    <w:rsid w:val="00D079B2"/>
    <w:rsid w:val="00D114E9"/>
    <w:rsid w:val="00D17125"/>
    <w:rsid w:val="00D2419D"/>
    <w:rsid w:val="00D429C6"/>
    <w:rsid w:val="00D47748"/>
    <w:rsid w:val="00D54CC3"/>
    <w:rsid w:val="00D5676F"/>
    <w:rsid w:val="00D57F8D"/>
    <w:rsid w:val="00D6041A"/>
    <w:rsid w:val="00D633EB"/>
    <w:rsid w:val="00D82FF7"/>
    <w:rsid w:val="00D847FE"/>
    <w:rsid w:val="00D87E2A"/>
    <w:rsid w:val="00D90613"/>
    <w:rsid w:val="00D964EA"/>
    <w:rsid w:val="00D966D0"/>
    <w:rsid w:val="00DA0C59"/>
    <w:rsid w:val="00DA1AA7"/>
    <w:rsid w:val="00DA3991"/>
    <w:rsid w:val="00DA4E92"/>
    <w:rsid w:val="00DB6360"/>
    <w:rsid w:val="00DB7E6C"/>
    <w:rsid w:val="00DD5A29"/>
    <w:rsid w:val="00DD5D9D"/>
    <w:rsid w:val="00DE34D6"/>
    <w:rsid w:val="00DE35CB"/>
    <w:rsid w:val="00DF21E9"/>
    <w:rsid w:val="00E00F14"/>
    <w:rsid w:val="00E06386"/>
    <w:rsid w:val="00E10871"/>
    <w:rsid w:val="00E21393"/>
    <w:rsid w:val="00E22FB0"/>
    <w:rsid w:val="00E24EB4"/>
    <w:rsid w:val="00E320ED"/>
    <w:rsid w:val="00E33AFB"/>
    <w:rsid w:val="00E34141"/>
    <w:rsid w:val="00E34218"/>
    <w:rsid w:val="00E374A8"/>
    <w:rsid w:val="00E46282"/>
    <w:rsid w:val="00E5216E"/>
    <w:rsid w:val="00E614EC"/>
    <w:rsid w:val="00E62DEF"/>
    <w:rsid w:val="00E82344"/>
    <w:rsid w:val="00E84C82"/>
    <w:rsid w:val="00E84D64"/>
    <w:rsid w:val="00E850AD"/>
    <w:rsid w:val="00E87408"/>
    <w:rsid w:val="00E914C4"/>
    <w:rsid w:val="00E934F5"/>
    <w:rsid w:val="00E96961"/>
    <w:rsid w:val="00EA4001"/>
    <w:rsid w:val="00EA72EC"/>
    <w:rsid w:val="00EB11CB"/>
    <w:rsid w:val="00EB275A"/>
    <w:rsid w:val="00EB786A"/>
    <w:rsid w:val="00EC1578"/>
    <w:rsid w:val="00EC1C72"/>
    <w:rsid w:val="00EC3CC9"/>
    <w:rsid w:val="00EC680A"/>
    <w:rsid w:val="00ED39DF"/>
    <w:rsid w:val="00EE2BED"/>
    <w:rsid w:val="00EE374B"/>
    <w:rsid w:val="00F06EEF"/>
    <w:rsid w:val="00F11BB5"/>
    <w:rsid w:val="00F1417B"/>
    <w:rsid w:val="00F2101D"/>
    <w:rsid w:val="00F34B99"/>
    <w:rsid w:val="00F50BA9"/>
    <w:rsid w:val="00F52DAB"/>
    <w:rsid w:val="00F543F0"/>
    <w:rsid w:val="00F73460"/>
    <w:rsid w:val="00F81D29"/>
    <w:rsid w:val="00F81E53"/>
    <w:rsid w:val="00F91C4D"/>
    <w:rsid w:val="00F92FD9"/>
    <w:rsid w:val="00F9549E"/>
    <w:rsid w:val="00FA2968"/>
    <w:rsid w:val="00FA3E44"/>
    <w:rsid w:val="00FA6684"/>
    <w:rsid w:val="00FA6FD1"/>
    <w:rsid w:val="00FA731E"/>
    <w:rsid w:val="00FB2B38"/>
    <w:rsid w:val="00FC247F"/>
    <w:rsid w:val="00FC4C92"/>
    <w:rsid w:val="00FC6358"/>
    <w:rsid w:val="00FD320D"/>
    <w:rsid w:val="00FE23DE"/>
    <w:rsid w:val="00FF115C"/>
    <w:rsid w:val="00FF6499"/>
    <w:rsid w:val="01213429"/>
    <w:rsid w:val="015E6884"/>
    <w:rsid w:val="01A966B8"/>
    <w:rsid w:val="01B3097E"/>
    <w:rsid w:val="024C2B81"/>
    <w:rsid w:val="024E3160"/>
    <w:rsid w:val="028B36A9"/>
    <w:rsid w:val="030D0562"/>
    <w:rsid w:val="03873CCA"/>
    <w:rsid w:val="03AB4354"/>
    <w:rsid w:val="041D0537"/>
    <w:rsid w:val="04483997"/>
    <w:rsid w:val="04E2157A"/>
    <w:rsid w:val="04ED1960"/>
    <w:rsid w:val="052A6BAC"/>
    <w:rsid w:val="054D733B"/>
    <w:rsid w:val="05557F9E"/>
    <w:rsid w:val="058D7738"/>
    <w:rsid w:val="05D9506E"/>
    <w:rsid w:val="067B1818"/>
    <w:rsid w:val="068177A3"/>
    <w:rsid w:val="069711E5"/>
    <w:rsid w:val="06B85D2D"/>
    <w:rsid w:val="06D01FD2"/>
    <w:rsid w:val="071E1F77"/>
    <w:rsid w:val="07344944"/>
    <w:rsid w:val="073836D3"/>
    <w:rsid w:val="076F5347"/>
    <w:rsid w:val="08273E74"/>
    <w:rsid w:val="083F775F"/>
    <w:rsid w:val="0906054F"/>
    <w:rsid w:val="091343F8"/>
    <w:rsid w:val="09915E2D"/>
    <w:rsid w:val="0AD6133C"/>
    <w:rsid w:val="0B036F30"/>
    <w:rsid w:val="0B1636BC"/>
    <w:rsid w:val="0B3D1A63"/>
    <w:rsid w:val="0C525237"/>
    <w:rsid w:val="0C917B0E"/>
    <w:rsid w:val="0CA912FB"/>
    <w:rsid w:val="0CE06965"/>
    <w:rsid w:val="0CF51428"/>
    <w:rsid w:val="0D3C216F"/>
    <w:rsid w:val="0D474670"/>
    <w:rsid w:val="0D9474DB"/>
    <w:rsid w:val="0E012A71"/>
    <w:rsid w:val="0E9953A0"/>
    <w:rsid w:val="0EF0186A"/>
    <w:rsid w:val="0F0008B2"/>
    <w:rsid w:val="0F061CB6"/>
    <w:rsid w:val="0F421593"/>
    <w:rsid w:val="0F78136C"/>
    <w:rsid w:val="0FD97157"/>
    <w:rsid w:val="0FDD64E6"/>
    <w:rsid w:val="0FF51EFE"/>
    <w:rsid w:val="10133CAD"/>
    <w:rsid w:val="10280789"/>
    <w:rsid w:val="106B3B30"/>
    <w:rsid w:val="10757746"/>
    <w:rsid w:val="108856CC"/>
    <w:rsid w:val="112E4B43"/>
    <w:rsid w:val="11E20E0C"/>
    <w:rsid w:val="12665599"/>
    <w:rsid w:val="127A1044"/>
    <w:rsid w:val="13404D68"/>
    <w:rsid w:val="13A520F1"/>
    <w:rsid w:val="13AD0340"/>
    <w:rsid w:val="14017D4F"/>
    <w:rsid w:val="14861F22"/>
    <w:rsid w:val="14C457D5"/>
    <w:rsid w:val="14CF1B1B"/>
    <w:rsid w:val="14E51B05"/>
    <w:rsid w:val="159A5F32"/>
    <w:rsid w:val="15F12DDD"/>
    <w:rsid w:val="16473933"/>
    <w:rsid w:val="172348DD"/>
    <w:rsid w:val="17575BB3"/>
    <w:rsid w:val="179D7CAF"/>
    <w:rsid w:val="18246195"/>
    <w:rsid w:val="18BA4890"/>
    <w:rsid w:val="18F5280B"/>
    <w:rsid w:val="190F698A"/>
    <w:rsid w:val="19151AC7"/>
    <w:rsid w:val="192064EF"/>
    <w:rsid w:val="194577E6"/>
    <w:rsid w:val="1A0E7548"/>
    <w:rsid w:val="1A3B555D"/>
    <w:rsid w:val="1A937147"/>
    <w:rsid w:val="1AEB0D31"/>
    <w:rsid w:val="1B193AF0"/>
    <w:rsid w:val="1BFB0229"/>
    <w:rsid w:val="1C393D1E"/>
    <w:rsid w:val="1C3D736A"/>
    <w:rsid w:val="1CA05B4B"/>
    <w:rsid w:val="1D1207F7"/>
    <w:rsid w:val="1D214EDE"/>
    <w:rsid w:val="1D686669"/>
    <w:rsid w:val="1DCB6BF8"/>
    <w:rsid w:val="1E2C0FC6"/>
    <w:rsid w:val="1EA23DFC"/>
    <w:rsid w:val="1ED8781E"/>
    <w:rsid w:val="1F7E24E8"/>
    <w:rsid w:val="1F8607DB"/>
    <w:rsid w:val="200B777F"/>
    <w:rsid w:val="20112FE8"/>
    <w:rsid w:val="203660CA"/>
    <w:rsid w:val="204A02A8"/>
    <w:rsid w:val="21231C8D"/>
    <w:rsid w:val="21D52833"/>
    <w:rsid w:val="22140B6D"/>
    <w:rsid w:val="22250FCC"/>
    <w:rsid w:val="22A16179"/>
    <w:rsid w:val="22F8223D"/>
    <w:rsid w:val="230C6885"/>
    <w:rsid w:val="234629D3"/>
    <w:rsid w:val="235575D6"/>
    <w:rsid w:val="2366364A"/>
    <w:rsid w:val="240E783E"/>
    <w:rsid w:val="24460185"/>
    <w:rsid w:val="249C1314"/>
    <w:rsid w:val="25302162"/>
    <w:rsid w:val="253B28B5"/>
    <w:rsid w:val="25990970"/>
    <w:rsid w:val="25F767DC"/>
    <w:rsid w:val="25FE511E"/>
    <w:rsid w:val="26687B78"/>
    <w:rsid w:val="26D57B6E"/>
    <w:rsid w:val="2705317A"/>
    <w:rsid w:val="27612374"/>
    <w:rsid w:val="27D25FC6"/>
    <w:rsid w:val="28A40771"/>
    <w:rsid w:val="28F95878"/>
    <w:rsid w:val="29026063"/>
    <w:rsid w:val="29191D69"/>
    <w:rsid w:val="291C6DAB"/>
    <w:rsid w:val="2952680E"/>
    <w:rsid w:val="2A2B2EF8"/>
    <w:rsid w:val="2A816FBC"/>
    <w:rsid w:val="2AA446A2"/>
    <w:rsid w:val="2B807EF1"/>
    <w:rsid w:val="2BE046C0"/>
    <w:rsid w:val="2C944032"/>
    <w:rsid w:val="2D40315E"/>
    <w:rsid w:val="2DD613CD"/>
    <w:rsid w:val="2E07737B"/>
    <w:rsid w:val="2E0F2B31"/>
    <w:rsid w:val="2F2553D6"/>
    <w:rsid w:val="2FD8767E"/>
    <w:rsid w:val="3045283A"/>
    <w:rsid w:val="30607673"/>
    <w:rsid w:val="308C0468"/>
    <w:rsid w:val="30FC316A"/>
    <w:rsid w:val="310B75DF"/>
    <w:rsid w:val="31101099"/>
    <w:rsid w:val="324A7161"/>
    <w:rsid w:val="32C739DA"/>
    <w:rsid w:val="32D22734"/>
    <w:rsid w:val="32F921EB"/>
    <w:rsid w:val="32F966A0"/>
    <w:rsid w:val="33482D6D"/>
    <w:rsid w:val="336851BD"/>
    <w:rsid w:val="34264730"/>
    <w:rsid w:val="34562DA0"/>
    <w:rsid w:val="349B2BDB"/>
    <w:rsid w:val="34E52D2A"/>
    <w:rsid w:val="3538245B"/>
    <w:rsid w:val="357065AB"/>
    <w:rsid w:val="35AF57BD"/>
    <w:rsid w:val="35FD647E"/>
    <w:rsid w:val="364C66D0"/>
    <w:rsid w:val="36B50719"/>
    <w:rsid w:val="377759CE"/>
    <w:rsid w:val="37E64902"/>
    <w:rsid w:val="37EB0DBF"/>
    <w:rsid w:val="38FD1F03"/>
    <w:rsid w:val="391A2AB5"/>
    <w:rsid w:val="392F4087"/>
    <w:rsid w:val="398C5748"/>
    <w:rsid w:val="39CD7B28"/>
    <w:rsid w:val="3B2D45F6"/>
    <w:rsid w:val="3B5035C7"/>
    <w:rsid w:val="3B824942"/>
    <w:rsid w:val="3C3D14C7"/>
    <w:rsid w:val="3C974017"/>
    <w:rsid w:val="3D94624D"/>
    <w:rsid w:val="3E4F2AAE"/>
    <w:rsid w:val="3EDB50B3"/>
    <w:rsid w:val="3EF656C5"/>
    <w:rsid w:val="3F1C194F"/>
    <w:rsid w:val="3F367F1D"/>
    <w:rsid w:val="3F6727CC"/>
    <w:rsid w:val="401364B0"/>
    <w:rsid w:val="403F1053"/>
    <w:rsid w:val="40B76E3C"/>
    <w:rsid w:val="40FC6F44"/>
    <w:rsid w:val="41B65345"/>
    <w:rsid w:val="422D7F46"/>
    <w:rsid w:val="427F1BDB"/>
    <w:rsid w:val="4290203A"/>
    <w:rsid w:val="42957651"/>
    <w:rsid w:val="432B1D63"/>
    <w:rsid w:val="44136A7F"/>
    <w:rsid w:val="44B642B9"/>
    <w:rsid w:val="451204FD"/>
    <w:rsid w:val="454A2974"/>
    <w:rsid w:val="45537F1C"/>
    <w:rsid w:val="45774DEB"/>
    <w:rsid w:val="4595129A"/>
    <w:rsid w:val="45E5444B"/>
    <w:rsid w:val="45F66658"/>
    <w:rsid w:val="46042FD8"/>
    <w:rsid w:val="462F2DEC"/>
    <w:rsid w:val="469C2DE7"/>
    <w:rsid w:val="46B53E1D"/>
    <w:rsid w:val="46EB3293"/>
    <w:rsid w:val="474A36D3"/>
    <w:rsid w:val="47995A5E"/>
    <w:rsid w:val="47AA14A8"/>
    <w:rsid w:val="47C63E08"/>
    <w:rsid w:val="489F3A5C"/>
    <w:rsid w:val="48AE4FC8"/>
    <w:rsid w:val="48B4512E"/>
    <w:rsid w:val="49157903"/>
    <w:rsid w:val="49755AE6"/>
    <w:rsid w:val="498A3DCC"/>
    <w:rsid w:val="4A875AD1"/>
    <w:rsid w:val="4B025B6F"/>
    <w:rsid w:val="4B5B36CC"/>
    <w:rsid w:val="4C5145E8"/>
    <w:rsid w:val="4CD553A3"/>
    <w:rsid w:val="4D5C3245"/>
    <w:rsid w:val="4DD23507"/>
    <w:rsid w:val="4DE73397"/>
    <w:rsid w:val="4DE80F7C"/>
    <w:rsid w:val="4EE94FAC"/>
    <w:rsid w:val="4F17424A"/>
    <w:rsid w:val="4FA113E3"/>
    <w:rsid w:val="4FF80009"/>
    <w:rsid w:val="500B0F15"/>
    <w:rsid w:val="5019366F"/>
    <w:rsid w:val="50CF1F80"/>
    <w:rsid w:val="50F360E5"/>
    <w:rsid w:val="52232583"/>
    <w:rsid w:val="52E53CDC"/>
    <w:rsid w:val="52F61A46"/>
    <w:rsid w:val="53071EA5"/>
    <w:rsid w:val="531225F7"/>
    <w:rsid w:val="53454643"/>
    <w:rsid w:val="534F1156"/>
    <w:rsid w:val="53AD76DF"/>
    <w:rsid w:val="53BC4896"/>
    <w:rsid w:val="54077C82"/>
    <w:rsid w:val="542B6911"/>
    <w:rsid w:val="54774E08"/>
    <w:rsid w:val="549534E0"/>
    <w:rsid w:val="54D933CD"/>
    <w:rsid w:val="54F226E1"/>
    <w:rsid w:val="54F9581D"/>
    <w:rsid w:val="55146D39"/>
    <w:rsid w:val="55232D59"/>
    <w:rsid w:val="55541583"/>
    <w:rsid w:val="55624A87"/>
    <w:rsid w:val="55D27DD1"/>
    <w:rsid w:val="567A0BDF"/>
    <w:rsid w:val="56951DE8"/>
    <w:rsid w:val="571C38D6"/>
    <w:rsid w:val="571D4121"/>
    <w:rsid w:val="57451857"/>
    <w:rsid w:val="579932E7"/>
    <w:rsid w:val="583D3C73"/>
    <w:rsid w:val="585F008D"/>
    <w:rsid w:val="58D04AE7"/>
    <w:rsid w:val="58E95BA9"/>
    <w:rsid w:val="58FC1D80"/>
    <w:rsid w:val="590D5D3B"/>
    <w:rsid w:val="59196382"/>
    <w:rsid w:val="59345076"/>
    <w:rsid w:val="59B14918"/>
    <w:rsid w:val="59B93477"/>
    <w:rsid w:val="59DA67D4"/>
    <w:rsid w:val="59FB2037"/>
    <w:rsid w:val="5A93303B"/>
    <w:rsid w:val="5AF0321E"/>
    <w:rsid w:val="5B2A2645"/>
    <w:rsid w:val="5B4F43E9"/>
    <w:rsid w:val="5BBC1352"/>
    <w:rsid w:val="5BCE56F2"/>
    <w:rsid w:val="5C1D6295"/>
    <w:rsid w:val="5C2E6C58"/>
    <w:rsid w:val="5C3B2BBF"/>
    <w:rsid w:val="5C675762"/>
    <w:rsid w:val="5CA00C74"/>
    <w:rsid w:val="5E421FE3"/>
    <w:rsid w:val="5E4D1219"/>
    <w:rsid w:val="5EF552A7"/>
    <w:rsid w:val="5F2B0CC9"/>
    <w:rsid w:val="5FE153D2"/>
    <w:rsid w:val="60675D31"/>
    <w:rsid w:val="60EA0710"/>
    <w:rsid w:val="610A2B60"/>
    <w:rsid w:val="61D94A0C"/>
    <w:rsid w:val="62483D95"/>
    <w:rsid w:val="636A1FC9"/>
    <w:rsid w:val="639628CB"/>
    <w:rsid w:val="63A85A08"/>
    <w:rsid w:val="64DB1D27"/>
    <w:rsid w:val="64E52EE9"/>
    <w:rsid w:val="64FC0F48"/>
    <w:rsid w:val="65270184"/>
    <w:rsid w:val="66B86FE1"/>
    <w:rsid w:val="67B923A4"/>
    <w:rsid w:val="67E4766C"/>
    <w:rsid w:val="681B1254"/>
    <w:rsid w:val="68B03FED"/>
    <w:rsid w:val="695C7A71"/>
    <w:rsid w:val="69894F6A"/>
    <w:rsid w:val="69D91FD6"/>
    <w:rsid w:val="69F71415"/>
    <w:rsid w:val="6A576E16"/>
    <w:rsid w:val="6B3704CB"/>
    <w:rsid w:val="6C294468"/>
    <w:rsid w:val="6CF21078"/>
    <w:rsid w:val="6D3A657B"/>
    <w:rsid w:val="6D961001"/>
    <w:rsid w:val="6E5B18FA"/>
    <w:rsid w:val="6EAB7730"/>
    <w:rsid w:val="6EDC0E0B"/>
    <w:rsid w:val="6F765F90"/>
    <w:rsid w:val="6F845BA4"/>
    <w:rsid w:val="6FE323BB"/>
    <w:rsid w:val="6FEA072C"/>
    <w:rsid w:val="7017014C"/>
    <w:rsid w:val="7027728A"/>
    <w:rsid w:val="70467F16"/>
    <w:rsid w:val="71440BBD"/>
    <w:rsid w:val="72023B0B"/>
    <w:rsid w:val="72566B2C"/>
    <w:rsid w:val="72671BC0"/>
    <w:rsid w:val="72D54D7C"/>
    <w:rsid w:val="72DB57D9"/>
    <w:rsid w:val="734E594C"/>
    <w:rsid w:val="73570205"/>
    <w:rsid w:val="742F670E"/>
    <w:rsid w:val="75447B05"/>
    <w:rsid w:val="75556648"/>
    <w:rsid w:val="75F302AF"/>
    <w:rsid w:val="761B33ED"/>
    <w:rsid w:val="763822D9"/>
    <w:rsid w:val="767B0330"/>
    <w:rsid w:val="76A02F18"/>
    <w:rsid w:val="77204A34"/>
    <w:rsid w:val="77F739E6"/>
    <w:rsid w:val="78281DF2"/>
    <w:rsid w:val="790B332C"/>
    <w:rsid w:val="79226841"/>
    <w:rsid w:val="7A6C2163"/>
    <w:rsid w:val="7AC230E5"/>
    <w:rsid w:val="7ACF29F8"/>
    <w:rsid w:val="7B494559"/>
    <w:rsid w:val="7B697019"/>
    <w:rsid w:val="7BC55B13"/>
    <w:rsid w:val="7BD304FC"/>
    <w:rsid w:val="7BF315C5"/>
    <w:rsid w:val="7C6F7FEF"/>
    <w:rsid w:val="7D133070"/>
    <w:rsid w:val="7D1F1E2A"/>
    <w:rsid w:val="7D2D6B0F"/>
    <w:rsid w:val="7D3E5C13"/>
    <w:rsid w:val="7D9A34AE"/>
    <w:rsid w:val="7E097B4D"/>
    <w:rsid w:val="7E470359"/>
    <w:rsid w:val="7E4D224E"/>
    <w:rsid w:val="7E6D09FF"/>
    <w:rsid w:val="7E747B3F"/>
    <w:rsid w:val="7ED22AB7"/>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keepNext/>
      <w:keepLines/>
      <w:spacing w:line="360" w:lineRule="auto"/>
      <w:outlineLvl w:val="1"/>
    </w:pPr>
    <w:rPr>
      <w:rFonts w:ascii="黒体-簡" w:eastAsia="黒体-簡" w:hAnsiTheme="majorHAnsi" w:cstheme="majorBidi"/>
      <w:sz w:val="24"/>
      <w:szCs w:val="2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autoRedefine/>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endnote text"/>
    <w:basedOn w:val="1"/>
    <w:autoRedefine/>
    <w:semiHidden/>
    <w:qFormat/>
    <w:uiPriority w:val="0"/>
    <w:pPr>
      <w:snapToGrid w:val="0"/>
      <w:jc w:val="left"/>
    </w:p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1"/>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30">
    <w:name w:val="index 2"/>
    <w:basedOn w:val="1"/>
    <w:next w:val="1"/>
    <w:autoRedefine/>
    <w:qFormat/>
    <w:uiPriority w:val="0"/>
    <w:pPr>
      <w:ind w:left="420" w:hanging="210"/>
      <w:jc w:val="left"/>
    </w:pPr>
    <w:rPr>
      <w:rFonts w:ascii="Calibri" w:hAnsi="Calibri"/>
      <w:sz w:val="20"/>
      <w:szCs w:val="20"/>
    </w:rPr>
  </w:style>
  <w:style w:type="table" w:styleId="32">
    <w:name w:val="Table Grid"/>
    <w:basedOn w:val="3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endnote reference"/>
    <w:basedOn w:val="33"/>
    <w:autoRedefine/>
    <w:semiHidden/>
    <w:qFormat/>
    <w:uiPriority w:val="0"/>
    <w:rPr>
      <w:vertAlign w:val="superscript"/>
    </w:rPr>
  </w:style>
  <w:style w:type="character" w:styleId="36">
    <w:name w:val="page number"/>
    <w:basedOn w:val="33"/>
    <w:autoRedefine/>
    <w:qFormat/>
    <w:uiPriority w:val="0"/>
    <w:rPr>
      <w:rFonts w:ascii="Times New Roman" w:hAnsi="Times New Roman" w:eastAsia="宋体"/>
      <w:sz w:val="18"/>
    </w:rPr>
  </w:style>
  <w:style w:type="character" w:styleId="37">
    <w:name w:val="FollowedHyperlink"/>
    <w:basedOn w:val="33"/>
    <w:autoRedefine/>
    <w:qFormat/>
    <w:uiPriority w:val="0"/>
    <w:rPr>
      <w:color w:val="800080"/>
      <w:u w:val="single"/>
    </w:rPr>
  </w:style>
  <w:style w:type="character" w:styleId="38">
    <w:name w:val="Emphasis"/>
    <w:basedOn w:val="33"/>
    <w:autoRedefine/>
    <w:qFormat/>
    <w:uiPriority w:val="0"/>
    <w:rPr>
      <w:i/>
    </w:rPr>
  </w:style>
  <w:style w:type="character" w:styleId="39">
    <w:name w:val="Hyperlink"/>
    <w:basedOn w:val="33"/>
    <w:autoRedefine/>
    <w:qFormat/>
    <w:uiPriority w:val="99"/>
    <w:rPr>
      <w:color w:val="0000FF"/>
      <w:spacing w:val="0"/>
      <w:w w:val="100"/>
      <w:szCs w:val="21"/>
      <w:u w:val="single"/>
      <w:lang w:val="en-US" w:eastAsia="zh-CN"/>
    </w:rPr>
  </w:style>
  <w:style w:type="character" w:styleId="40">
    <w:name w:val="footnote reference"/>
    <w:basedOn w:val="33"/>
    <w:autoRedefine/>
    <w:semiHidden/>
    <w:qFormat/>
    <w:uiPriority w:val="0"/>
    <w:rPr>
      <w:vertAlign w:val="superscript"/>
    </w:rPr>
  </w:style>
  <w:style w:type="character" w:customStyle="1" w:styleId="41">
    <w:name w:val="首示例 Char"/>
    <w:basedOn w:val="33"/>
    <w:link w:val="42"/>
    <w:autoRedefine/>
    <w:qFormat/>
    <w:uiPriority w:val="0"/>
    <w:rPr>
      <w:rFonts w:ascii="宋体" w:hAnsi="宋体"/>
      <w:kern w:val="2"/>
      <w:sz w:val="18"/>
      <w:szCs w:val="18"/>
    </w:rPr>
  </w:style>
  <w:style w:type="paragraph" w:customStyle="1" w:styleId="42">
    <w:name w:val="首示例"/>
    <w:next w:val="22"/>
    <w:link w:val="41"/>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3">
    <w:name w:val="段 Char"/>
    <w:basedOn w:val="33"/>
    <w:link w:val="22"/>
    <w:autoRedefine/>
    <w:qFormat/>
    <w:uiPriority w:val="0"/>
    <w:rPr>
      <w:rFonts w:ascii="宋体"/>
      <w:sz w:val="21"/>
      <w:lang w:val="en-US" w:eastAsia="zh-CN" w:bidi="ar-SA"/>
    </w:rPr>
  </w:style>
  <w:style w:type="character" w:customStyle="1" w:styleId="44">
    <w:name w:val="发布"/>
    <w:basedOn w:val="33"/>
    <w:autoRedefine/>
    <w:qFormat/>
    <w:uiPriority w:val="0"/>
    <w:rPr>
      <w:rFonts w:ascii="黑体" w:eastAsia="黑体"/>
      <w:spacing w:val="85"/>
      <w:w w:val="100"/>
      <w:position w:val="3"/>
      <w:sz w:val="28"/>
      <w:szCs w:val="28"/>
    </w:rPr>
  </w:style>
  <w:style w:type="character" w:customStyle="1" w:styleId="45">
    <w:name w:val="附录公式 Char"/>
    <w:basedOn w:val="43"/>
    <w:link w:val="46"/>
    <w:autoRedefine/>
    <w:qFormat/>
    <w:uiPriority w:val="0"/>
    <w:rPr>
      <w:rFonts w:ascii="宋体"/>
      <w:sz w:val="21"/>
      <w:lang w:val="en-US" w:eastAsia="zh-CN" w:bidi="ar-SA"/>
    </w:rPr>
  </w:style>
  <w:style w:type="paragraph" w:customStyle="1" w:styleId="46">
    <w:name w:val="附录公式"/>
    <w:basedOn w:val="22"/>
    <w:next w:val="22"/>
    <w:link w:val="45"/>
    <w:autoRedefine/>
    <w:qFormat/>
    <w:uiPriority w:val="0"/>
  </w:style>
  <w:style w:type="paragraph" w:customStyle="1" w:styleId="47">
    <w:name w:val="正文公式编号制表符"/>
    <w:basedOn w:val="22"/>
    <w:next w:val="22"/>
    <w:autoRedefine/>
    <w:qFormat/>
    <w:uiPriority w:val="0"/>
    <w:pPr>
      <w:ind w:firstLine="0" w:firstLineChars="0"/>
    </w:pPr>
  </w:style>
  <w:style w:type="paragraph" w:customStyle="1" w:styleId="48">
    <w:name w:val="其他实施日期"/>
    <w:basedOn w:val="49"/>
    <w:autoRedefine/>
    <w:qFormat/>
    <w:uiPriority w:val="0"/>
  </w:style>
  <w:style w:type="paragraph" w:customStyle="1" w:styleId="49">
    <w:name w:val="实施日期"/>
    <w:basedOn w:val="50"/>
    <w:autoRedefine/>
    <w:qFormat/>
    <w:uiPriority w:val="0"/>
    <w:pPr>
      <w:framePr w:vAnchor="page" w:hAnchor="text"/>
      <w:jc w:val="right"/>
    </w:pPr>
  </w:style>
  <w:style w:type="paragraph" w:customStyle="1" w:styleId="5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2">
    <w:name w:val="附录二级条标题"/>
    <w:basedOn w:val="1"/>
    <w:next w:val="22"/>
    <w:autoRedefine/>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3">
    <w:name w:val="附录标识"/>
    <w:basedOn w:val="1"/>
    <w:next w:val="22"/>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4">
    <w:name w:val="正文表标题"/>
    <w:next w:val="22"/>
    <w:autoRedefine/>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5">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封面标准文稿编辑信息2"/>
    <w:basedOn w:val="57"/>
    <w:autoRedefine/>
    <w:qFormat/>
    <w:uiPriority w:val="0"/>
    <w:pPr>
      <w:framePr w:y="4469"/>
    </w:pPr>
  </w:style>
  <w:style w:type="paragraph" w:customStyle="1" w:styleId="57">
    <w:name w:val="封面标准文稿编辑信息"/>
    <w:basedOn w:val="58"/>
    <w:autoRedefine/>
    <w:qFormat/>
    <w:uiPriority w:val="0"/>
    <w:pPr>
      <w:spacing w:before="180" w:line="180" w:lineRule="exact"/>
    </w:pPr>
    <w:rPr>
      <w:sz w:val="21"/>
    </w:rPr>
  </w:style>
  <w:style w:type="paragraph" w:customStyle="1" w:styleId="58">
    <w:name w:val="封面标准文稿类别"/>
    <w:basedOn w:val="59"/>
    <w:autoRedefine/>
    <w:qFormat/>
    <w:uiPriority w:val="0"/>
    <w:pPr>
      <w:spacing w:after="160" w:line="240" w:lineRule="auto"/>
    </w:pPr>
    <w:rPr>
      <w:sz w:val="24"/>
    </w:rPr>
  </w:style>
  <w:style w:type="paragraph" w:customStyle="1" w:styleId="59">
    <w:name w:val="封面一致性程度标识"/>
    <w:basedOn w:val="60"/>
    <w:autoRedefine/>
    <w:qFormat/>
    <w:uiPriority w:val="0"/>
    <w:pPr>
      <w:spacing w:before="440"/>
    </w:pPr>
    <w:rPr>
      <w:rFonts w:ascii="宋体" w:eastAsia="宋体"/>
    </w:rPr>
  </w:style>
  <w:style w:type="paragraph" w:customStyle="1" w:styleId="60">
    <w:name w:val="封面标准英文名称"/>
    <w:basedOn w:val="61"/>
    <w:autoRedefine/>
    <w:qFormat/>
    <w:uiPriority w:val="0"/>
    <w:pPr>
      <w:spacing w:before="370" w:line="400" w:lineRule="exact"/>
    </w:pPr>
    <w:rPr>
      <w:rFonts w:ascii="Times New Roman"/>
      <w:sz w:val="28"/>
      <w:szCs w:val="28"/>
    </w:rPr>
  </w:style>
  <w:style w:type="paragraph" w:customStyle="1" w:styleId="6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3">
    <w:name w:val="二级条标题"/>
    <w:basedOn w:val="64"/>
    <w:next w:val="22"/>
    <w:autoRedefine/>
    <w:qFormat/>
    <w:uiPriority w:val="0"/>
    <w:pPr>
      <w:numPr>
        <w:ilvl w:val="2"/>
      </w:numPr>
      <w:spacing w:before="50" w:after="50"/>
      <w:outlineLvl w:val="3"/>
    </w:pPr>
  </w:style>
  <w:style w:type="paragraph" w:customStyle="1" w:styleId="64">
    <w:name w:val="一级条标题"/>
    <w:next w:val="22"/>
    <w:autoRedefine/>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三级条标题"/>
    <w:basedOn w:val="63"/>
    <w:next w:val="22"/>
    <w:autoRedefine/>
    <w:qFormat/>
    <w:uiPriority w:val="0"/>
    <w:pPr>
      <w:numPr>
        <w:ilvl w:val="3"/>
      </w:numPr>
      <w:outlineLvl w:val="4"/>
    </w:pPr>
  </w:style>
  <w:style w:type="paragraph" w:customStyle="1" w:styleId="66">
    <w:name w:val="条文脚注"/>
    <w:basedOn w:val="23"/>
    <w:autoRedefine/>
    <w:qFormat/>
    <w:uiPriority w:val="0"/>
    <w:pPr>
      <w:numPr>
        <w:numId w:val="0"/>
      </w:numPr>
      <w:jc w:val="both"/>
    </w:pPr>
  </w:style>
  <w:style w:type="paragraph" w:customStyle="1" w:styleId="67">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0">
    <w:name w:val="示例"/>
    <w:next w:val="71"/>
    <w:autoRedefine/>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7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72">
    <w:name w:val="附录章标题"/>
    <w:next w:val="22"/>
    <w:autoRedefine/>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
    <w:name w:val="发布部门"/>
    <w:next w:val="22"/>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四级无"/>
    <w:basedOn w:val="77"/>
    <w:autoRedefine/>
    <w:qFormat/>
    <w:uiPriority w:val="0"/>
    <w:pPr>
      <w:spacing w:beforeLines="0" w:afterLines="0"/>
    </w:pPr>
    <w:rPr>
      <w:rFonts w:ascii="宋体" w:eastAsia="宋体"/>
    </w:rPr>
  </w:style>
  <w:style w:type="paragraph" w:customStyle="1" w:styleId="77">
    <w:name w:val="四级条标题"/>
    <w:basedOn w:val="65"/>
    <w:next w:val="22"/>
    <w:autoRedefine/>
    <w:qFormat/>
    <w:uiPriority w:val="0"/>
    <w:pPr>
      <w:numPr>
        <w:ilvl w:val="0"/>
        <w:numId w:val="0"/>
      </w:numPr>
      <w:outlineLvl w:val="5"/>
    </w:pPr>
  </w:style>
  <w:style w:type="paragraph" w:customStyle="1" w:styleId="78">
    <w:name w:val="章标题"/>
    <w:next w:val="22"/>
    <w:autoRedefine/>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79">
    <w:name w:val="目次、标准名称标题"/>
    <w:basedOn w:val="1"/>
    <w:next w:val="2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0">
    <w:name w:val="注×："/>
    <w:autoRedefine/>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8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2">
    <w:name w:val="示例后文字"/>
    <w:basedOn w:val="22"/>
    <w:next w:val="22"/>
    <w:autoRedefine/>
    <w:qFormat/>
    <w:uiPriority w:val="0"/>
    <w:pPr>
      <w:ind w:firstLine="360"/>
    </w:pPr>
    <w:rPr>
      <w:sz w:val="18"/>
    </w:rPr>
  </w:style>
  <w:style w:type="paragraph" w:customStyle="1" w:styleId="83">
    <w:name w:val="附录表标号"/>
    <w:basedOn w:val="1"/>
    <w:next w:val="22"/>
    <w:autoRedefine/>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8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一级无"/>
    <w:basedOn w:val="64"/>
    <w:autoRedefine/>
    <w:qFormat/>
    <w:uiPriority w:val="0"/>
    <w:pPr>
      <w:spacing w:beforeLines="0" w:afterLines="0"/>
    </w:pPr>
    <w:rPr>
      <w:rFonts w:ascii="宋体" w:eastAsia="宋体"/>
    </w:rPr>
  </w:style>
  <w:style w:type="paragraph" w:customStyle="1" w:styleId="86">
    <w:name w:val="封面一致性程度标识2"/>
    <w:basedOn w:val="59"/>
    <w:autoRedefine/>
    <w:qFormat/>
    <w:uiPriority w:val="0"/>
    <w:pPr>
      <w:framePr w:y="4469"/>
    </w:pPr>
  </w:style>
  <w:style w:type="paragraph" w:customStyle="1" w:styleId="87">
    <w:name w:val="附录一级无"/>
    <w:basedOn w:val="88"/>
    <w:autoRedefine/>
    <w:qFormat/>
    <w:uiPriority w:val="0"/>
    <w:pPr>
      <w:tabs>
        <w:tab w:val="left" w:pos="360"/>
      </w:tabs>
      <w:spacing w:beforeLines="0" w:afterLines="0"/>
    </w:pPr>
    <w:rPr>
      <w:rFonts w:ascii="宋体" w:eastAsia="宋体"/>
      <w:szCs w:val="21"/>
    </w:rPr>
  </w:style>
  <w:style w:type="paragraph" w:customStyle="1" w:styleId="88">
    <w:name w:val="附录一级条标题"/>
    <w:basedOn w:val="72"/>
    <w:next w:val="22"/>
    <w:autoRedefine/>
    <w:qFormat/>
    <w:uiPriority w:val="0"/>
    <w:pPr>
      <w:numPr>
        <w:ilvl w:val="0"/>
        <w:numId w:val="0"/>
      </w:numPr>
      <w:autoSpaceDN w:val="0"/>
      <w:spacing w:beforeLines="50" w:afterLines="50"/>
      <w:outlineLvl w:val="2"/>
    </w:pPr>
  </w:style>
  <w:style w:type="paragraph" w:customStyle="1" w:styleId="8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二级无"/>
    <w:basedOn w:val="63"/>
    <w:autoRedefine/>
    <w:qFormat/>
    <w:uiPriority w:val="0"/>
    <w:pPr>
      <w:numPr>
        <w:ilvl w:val="0"/>
        <w:numId w:val="0"/>
      </w:numPr>
      <w:spacing w:beforeLines="0" w:afterLines="0"/>
    </w:pPr>
    <w:rPr>
      <w:rFonts w:ascii="宋体" w:eastAsia="宋体"/>
    </w:rPr>
  </w:style>
  <w:style w:type="paragraph" w:customStyle="1" w:styleId="9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3">
    <w:name w:val="列项◆（三级）"/>
    <w:basedOn w:val="1"/>
    <w:autoRedefine/>
    <w:qFormat/>
    <w:uiPriority w:val="0"/>
    <w:pPr>
      <w:numPr>
        <w:ilvl w:val="2"/>
        <w:numId w:val="10"/>
      </w:numPr>
    </w:pPr>
    <w:rPr>
      <w:rFonts w:ascii="宋体"/>
      <w:szCs w:val="21"/>
    </w:rPr>
  </w:style>
  <w:style w:type="paragraph" w:customStyle="1" w:styleId="94">
    <w:name w:val="其他发布日期"/>
    <w:basedOn w:val="50"/>
    <w:autoRedefine/>
    <w:qFormat/>
    <w:uiPriority w:val="0"/>
    <w:pPr>
      <w:framePr w:vAnchor="page" w:hAnchor="text" w:x="1419"/>
    </w:pPr>
  </w:style>
  <w:style w:type="paragraph" w:customStyle="1" w:styleId="95">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96">
    <w:name w:val="附录表标题"/>
    <w:basedOn w:val="1"/>
    <w:next w:val="22"/>
    <w:autoRedefine/>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7">
    <w:name w:val="五级条标题"/>
    <w:basedOn w:val="77"/>
    <w:next w:val="22"/>
    <w:autoRedefine/>
    <w:qFormat/>
    <w:uiPriority w:val="0"/>
    <w:pPr>
      <w:numPr>
        <w:ilvl w:val="5"/>
      </w:numPr>
      <w:outlineLvl w:val="6"/>
    </w:pPr>
  </w:style>
  <w:style w:type="paragraph" w:customStyle="1" w:styleId="98">
    <w:name w:val="附录四级条标题"/>
    <w:basedOn w:val="99"/>
    <w:next w:val="22"/>
    <w:autoRedefine/>
    <w:qFormat/>
    <w:uiPriority w:val="0"/>
    <w:pPr>
      <w:numPr>
        <w:ilvl w:val="5"/>
      </w:numPr>
      <w:tabs>
        <w:tab w:val="left" w:pos="360"/>
      </w:tabs>
      <w:outlineLvl w:val="5"/>
    </w:pPr>
  </w:style>
  <w:style w:type="paragraph" w:customStyle="1" w:styleId="99">
    <w:name w:val="附录三级条标题"/>
    <w:basedOn w:val="52"/>
    <w:next w:val="22"/>
    <w:autoRedefine/>
    <w:qFormat/>
    <w:uiPriority w:val="0"/>
    <w:pPr>
      <w:numPr>
        <w:ilvl w:val="4"/>
      </w:numPr>
      <w:outlineLvl w:val="4"/>
    </w:pPr>
  </w:style>
  <w:style w:type="paragraph" w:customStyle="1" w:styleId="100">
    <w:name w:val="图标脚注说明"/>
    <w:basedOn w:val="22"/>
    <w:autoRedefine/>
    <w:qFormat/>
    <w:uiPriority w:val="0"/>
    <w:pPr>
      <w:ind w:left="840" w:hanging="420" w:firstLineChars="0"/>
    </w:pPr>
    <w:rPr>
      <w:sz w:val="18"/>
      <w:szCs w:val="18"/>
    </w:rPr>
  </w:style>
  <w:style w:type="paragraph" w:customStyle="1" w:styleId="10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2">
    <w:name w:val="列项——（一级）"/>
    <w:autoRedefine/>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03">
    <w:name w:val="注："/>
    <w:next w:val="22"/>
    <w:autoRedefine/>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封面标准英文名称2"/>
    <w:basedOn w:val="60"/>
    <w:autoRedefine/>
    <w:qFormat/>
    <w:uiPriority w:val="0"/>
    <w:pPr>
      <w:framePr w:y="4469"/>
    </w:pPr>
  </w:style>
  <w:style w:type="paragraph" w:customStyle="1" w:styleId="10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6">
    <w:name w:val="三级无"/>
    <w:basedOn w:val="65"/>
    <w:autoRedefine/>
    <w:qFormat/>
    <w:uiPriority w:val="0"/>
    <w:pPr>
      <w:spacing w:beforeLines="0" w:afterLines="0"/>
    </w:pPr>
    <w:rPr>
      <w:rFonts w:ascii="宋体" w:eastAsia="宋体"/>
    </w:rPr>
  </w:style>
  <w:style w:type="paragraph" w:customStyle="1" w:styleId="107">
    <w:name w:val="列项●（二级）"/>
    <w:autoRedefine/>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8">
    <w:name w:val="示例×："/>
    <w:basedOn w:val="78"/>
    <w:autoRedefine/>
    <w:qFormat/>
    <w:uiPriority w:val="0"/>
    <w:pPr>
      <w:numPr>
        <w:numId w:val="12"/>
      </w:numPr>
      <w:spacing w:beforeLines="0" w:afterLines="0"/>
      <w:outlineLvl w:val="9"/>
    </w:pPr>
    <w:rPr>
      <w:rFonts w:ascii="宋体" w:eastAsia="宋体"/>
      <w:sz w:val="18"/>
      <w:szCs w:val="18"/>
    </w:rPr>
  </w:style>
  <w:style w:type="paragraph" w:customStyle="1" w:styleId="109">
    <w:name w:val="标准书眉_偶数页"/>
    <w:basedOn w:val="73"/>
    <w:next w:val="1"/>
    <w:autoRedefine/>
    <w:qFormat/>
    <w:uiPriority w:val="0"/>
    <w:pPr>
      <w:jc w:val="left"/>
    </w:pPr>
  </w:style>
  <w:style w:type="paragraph" w:customStyle="1" w:styleId="110">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111">
    <w:name w:val="其他发布部门"/>
    <w:basedOn w:val="74"/>
    <w:autoRedefine/>
    <w:qFormat/>
    <w:uiPriority w:val="0"/>
    <w:pPr>
      <w:framePr w:y="15310"/>
      <w:spacing w:line="0" w:lineRule="atLeast"/>
    </w:pPr>
    <w:rPr>
      <w:rFonts w:ascii="黑体" w:eastAsia="黑体"/>
      <w:b w:val="0"/>
    </w:rPr>
  </w:style>
  <w:style w:type="paragraph" w:customStyle="1" w:styleId="112">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注×：（正文）"/>
    <w:autoRedefine/>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14">
    <w:name w:val="正文图标题"/>
    <w:next w:val="22"/>
    <w:autoRedefine/>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5">
    <w:name w:val="附录二级无"/>
    <w:basedOn w:val="52"/>
    <w:autoRedefine/>
    <w:qFormat/>
    <w:uiPriority w:val="0"/>
    <w:pPr>
      <w:tabs>
        <w:tab w:val="clear" w:pos="360"/>
      </w:tabs>
      <w:spacing w:beforeLines="0" w:afterLines="0"/>
    </w:pPr>
    <w:rPr>
      <w:rFonts w:ascii="宋体" w:eastAsia="宋体"/>
      <w:szCs w:val="21"/>
    </w:rPr>
  </w:style>
  <w:style w:type="paragraph" w:customStyle="1" w:styleId="116">
    <w:name w:val="注：（正文）"/>
    <w:basedOn w:val="103"/>
    <w:next w:val="22"/>
    <w:autoRedefine/>
    <w:qFormat/>
    <w:uiPriority w:val="0"/>
  </w:style>
  <w:style w:type="paragraph" w:customStyle="1" w:styleId="117">
    <w:name w:val="图表脚注说明"/>
    <w:basedOn w:val="1"/>
    <w:autoRedefine/>
    <w:qFormat/>
    <w:uiPriority w:val="0"/>
    <w:pPr>
      <w:numPr>
        <w:ilvl w:val="0"/>
        <w:numId w:val="15"/>
      </w:numPr>
    </w:pPr>
    <w:rPr>
      <w:rFonts w:ascii="宋体"/>
      <w:sz w:val="18"/>
      <w:szCs w:val="18"/>
    </w:rPr>
  </w:style>
  <w:style w:type="paragraph" w:customStyle="1" w:styleId="118">
    <w:name w:val="附录图标号"/>
    <w:basedOn w:val="1"/>
    <w:autoRedefine/>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19">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终结线"/>
    <w:basedOn w:val="1"/>
    <w:autoRedefine/>
    <w:qFormat/>
    <w:uiPriority w:val="0"/>
    <w:pPr>
      <w:framePr w:hSpace="181" w:vSpace="181" w:wrap="around" w:vAnchor="text" w:hAnchor="margin" w:xAlign="center" w:y="285"/>
    </w:pPr>
  </w:style>
  <w:style w:type="paragraph" w:customStyle="1" w:styleId="121">
    <w:name w:val="附录三级无"/>
    <w:basedOn w:val="99"/>
    <w:autoRedefine/>
    <w:qFormat/>
    <w:uiPriority w:val="0"/>
    <w:pPr>
      <w:tabs>
        <w:tab w:val="clear" w:pos="360"/>
      </w:tabs>
      <w:spacing w:beforeLines="0" w:afterLines="0"/>
    </w:pPr>
    <w:rPr>
      <w:rFonts w:ascii="宋体" w:eastAsia="宋体"/>
      <w:szCs w:val="21"/>
    </w:rPr>
  </w:style>
  <w:style w:type="paragraph" w:customStyle="1" w:styleId="122">
    <w:name w:val="封面正文"/>
    <w:autoRedefine/>
    <w:qFormat/>
    <w:uiPriority w:val="0"/>
    <w:pPr>
      <w:jc w:val="both"/>
    </w:pPr>
    <w:rPr>
      <w:rFonts w:ascii="Times New Roman" w:hAnsi="Times New Roman" w:eastAsia="宋体" w:cs="Times New Roman"/>
      <w:lang w:val="en-US" w:eastAsia="zh-CN" w:bidi="ar-SA"/>
    </w:rPr>
  </w:style>
  <w:style w:type="paragraph" w:customStyle="1" w:styleId="123">
    <w:name w:val="附录标题"/>
    <w:basedOn w:val="22"/>
    <w:next w:val="22"/>
    <w:autoRedefine/>
    <w:qFormat/>
    <w:uiPriority w:val="0"/>
    <w:pPr>
      <w:ind w:firstLine="0" w:firstLineChars="0"/>
      <w:jc w:val="center"/>
    </w:pPr>
    <w:rPr>
      <w:rFonts w:ascii="黑体" w:eastAsia="黑体"/>
    </w:rPr>
  </w:style>
  <w:style w:type="paragraph" w:customStyle="1" w:styleId="124">
    <w:name w:val="封面标准名称2"/>
    <w:basedOn w:val="61"/>
    <w:autoRedefine/>
    <w:qFormat/>
    <w:uiPriority w:val="0"/>
    <w:pPr>
      <w:framePr w:y="4469"/>
      <w:spacing w:beforeLines="630"/>
    </w:pPr>
  </w:style>
  <w:style w:type="paragraph" w:customStyle="1" w:styleId="125">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26">
    <w:name w:val="封面标准文稿类别2"/>
    <w:basedOn w:val="58"/>
    <w:autoRedefine/>
    <w:qFormat/>
    <w:uiPriority w:val="0"/>
    <w:pPr>
      <w:framePr w:y="4469"/>
    </w:pPr>
  </w:style>
  <w:style w:type="paragraph" w:customStyle="1" w:styleId="127">
    <w:name w:val="附录数字编号列项（二级）"/>
    <w:autoRedefine/>
    <w:qFormat/>
    <w:uiPriority w:val="0"/>
    <w:pPr>
      <w:numPr>
        <w:ilvl w:val="1"/>
        <w:numId w:val="17"/>
      </w:numPr>
    </w:pPr>
    <w:rPr>
      <w:rFonts w:ascii="宋体" w:hAnsi="Times New Roman" w:eastAsia="宋体" w:cs="Times New Roman"/>
      <w:sz w:val="21"/>
      <w:lang w:val="en-US" w:eastAsia="zh-CN" w:bidi="ar-SA"/>
    </w:rPr>
  </w:style>
  <w:style w:type="paragraph" w:customStyle="1" w:styleId="128">
    <w:name w:val="附录四级无"/>
    <w:basedOn w:val="98"/>
    <w:autoRedefine/>
    <w:qFormat/>
    <w:uiPriority w:val="0"/>
    <w:pPr>
      <w:tabs>
        <w:tab w:val="clear" w:pos="360"/>
      </w:tabs>
      <w:spacing w:beforeLines="0" w:afterLines="0"/>
    </w:pPr>
    <w:rPr>
      <w:rFonts w:ascii="宋体" w:eastAsia="宋体"/>
      <w:szCs w:val="21"/>
    </w:rPr>
  </w:style>
  <w:style w:type="paragraph" w:customStyle="1" w:styleId="129">
    <w:name w:val="附录图标题"/>
    <w:basedOn w:val="1"/>
    <w:next w:val="22"/>
    <w:autoRedefine/>
    <w:qFormat/>
    <w:uiPriority w:val="0"/>
    <w:pPr>
      <w:numPr>
        <w:ilvl w:val="1"/>
        <w:numId w:val="16"/>
      </w:numPr>
      <w:tabs>
        <w:tab w:val="left" w:pos="363"/>
      </w:tabs>
      <w:spacing w:beforeLines="50" w:afterLines="50"/>
      <w:ind w:left="0" w:firstLine="0"/>
      <w:jc w:val="center"/>
    </w:pPr>
    <w:rPr>
      <w:rFonts w:ascii="黑体" w:eastAsia="黑体"/>
      <w:szCs w:val="21"/>
    </w:rPr>
  </w:style>
  <w:style w:type="paragraph" w:customStyle="1" w:styleId="130">
    <w:name w:val="附录五级条标题"/>
    <w:basedOn w:val="98"/>
    <w:next w:val="22"/>
    <w:autoRedefine/>
    <w:qFormat/>
    <w:uiPriority w:val="0"/>
    <w:pPr>
      <w:numPr>
        <w:ilvl w:val="6"/>
      </w:numPr>
      <w:outlineLvl w:val="6"/>
    </w:pPr>
  </w:style>
  <w:style w:type="paragraph" w:customStyle="1" w:styleId="131">
    <w:name w:val="附录五级无"/>
    <w:basedOn w:val="130"/>
    <w:autoRedefine/>
    <w:qFormat/>
    <w:uiPriority w:val="0"/>
    <w:pPr>
      <w:tabs>
        <w:tab w:val="clear" w:pos="360"/>
      </w:tabs>
      <w:spacing w:beforeLines="0" w:afterLines="0"/>
    </w:pPr>
    <w:rPr>
      <w:rFonts w:ascii="宋体" w:eastAsia="宋体"/>
      <w:szCs w:val="21"/>
    </w:rPr>
  </w:style>
  <w:style w:type="paragraph" w:customStyle="1" w:styleId="132">
    <w:name w:val="附录字母编号列项（一级）"/>
    <w:autoRedefine/>
    <w:qFormat/>
    <w:uiPriority w:val="0"/>
    <w:pPr>
      <w:numPr>
        <w:ilvl w:val="0"/>
        <w:numId w:val="17"/>
      </w:numPr>
    </w:pPr>
    <w:rPr>
      <w:rFonts w:ascii="宋体" w:hAnsi="Times New Roman" w:eastAsia="宋体" w:cs="Times New Roman"/>
      <w:sz w:val="21"/>
      <w:lang w:val="en-US" w:eastAsia="zh-CN" w:bidi="ar-SA"/>
    </w:rPr>
  </w:style>
  <w:style w:type="paragraph" w:customStyle="1" w:styleId="13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4">
    <w:name w:val="其他标准标志"/>
    <w:basedOn w:val="51"/>
    <w:autoRedefine/>
    <w:qFormat/>
    <w:uiPriority w:val="0"/>
    <w:pPr>
      <w:framePr w:w="6101" w:vAnchor="page" w:hAnchor="page" w:x="4673" w:y="942"/>
    </w:pPr>
    <w:rPr>
      <w:w w:val="130"/>
    </w:rPr>
  </w:style>
  <w:style w:type="paragraph" w:customStyle="1" w:styleId="135">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6">
    <w:name w:val="五级无"/>
    <w:basedOn w:val="97"/>
    <w:autoRedefine/>
    <w:qFormat/>
    <w:uiPriority w:val="0"/>
    <w:pPr>
      <w:spacing w:beforeLines="0" w:afterLines="0"/>
    </w:pPr>
    <w:rPr>
      <w:rFonts w:ascii="宋体" w:eastAsia="宋体"/>
    </w:rPr>
  </w:style>
  <w:style w:type="paragraph" w:customStyle="1" w:styleId="137">
    <w:name w:val="Char Char Char2 Char"/>
    <w:basedOn w:val="1"/>
    <w:autoRedefine/>
    <w:qFormat/>
    <w:uiPriority w:val="0"/>
    <w:pPr>
      <w:ind w:firstLine="363"/>
    </w:pPr>
  </w:style>
  <w:style w:type="paragraph" w:customStyle="1" w:styleId="138">
    <w:name w:val="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styleId="139">
    <w:name w:val="List Paragraph"/>
    <w:basedOn w:val="1"/>
    <w:autoRedefine/>
    <w:qFormat/>
    <w:uiPriority w:val="99"/>
    <w:pPr>
      <w:ind w:firstLine="420" w:firstLineChars="200"/>
    </w:pPr>
  </w:style>
  <w:style w:type="paragraph" w:customStyle="1" w:styleId="140">
    <w:name w:val="WPSOffice手动目录 1"/>
    <w:autoRedefine/>
    <w:qFormat/>
    <w:uiPriority w:val="0"/>
    <w:pPr>
      <w:ind w:leftChars="0"/>
    </w:pPr>
    <w:rPr>
      <w:rFonts w:ascii="Times New Roman" w:hAnsi="Times New Roman" w:eastAsia="宋体" w:cs="Times New Roman"/>
      <w:sz w:val="20"/>
      <w:szCs w:val="20"/>
    </w:rPr>
  </w:style>
  <w:style w:type="paragraph" w:customStyle="1" w:styleId="141">
    <w:name w:val="WPSOffice手动目录 2"/>
    <w:autoRedefine/>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25169-D344-4835-8AAA-A8542DB4DB78}">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13</Pages>
  <Words>7112</Words>
  <Characters>7554</Characters>
  <Lines>5</Lines>
  <Paragraphs>3</Paragraphs>
  <TotalTime>12</TotalTime>
  <ScaleCrop>false</ScaleCrop>
  <LinksUpToDate>false</LinksUpToDate>
  <CharactersWithSpaces>7716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2020-07-07T06:35:00Z</dcterms:created>
  <dc:creator>CNIS</dc:creator>
  <cp:lastModifiedBy>皂滑弄人</cp:lastModifiedBy>
  <cp:lastPrinted>2024-05-27T08:02:34Z</cp:lastPrinted>
  <dcterms:modified xsi:type="dcterms:W3CDTF">2024-05-27T08:11:27Z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9F4342E02BB448B7A34A3DF19F70803A_13</vt:lpwstr>
  </property>
</Properties>
</file>